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90" w:rsidRDefault="00BA2090" w:rsidP="00280C44">
      <w:pPr>
        <w:pStyle w:val="Title"/>
      </w:pPr>
      <w:bookmarkStart w:id="0" w:name="_GoBack"/>
      <w:bookmarkEnd w:id="0"/>
    </w:p>
    <w:p w:rsidR="000B4AC7" w:rsidRDefault="00CC6E52" w:rsidP="005E1D61">
      <w:pPr>
        <w:pStyle w:val="Title"/>
        <w:jc w:val="center"/>
      </w:pPr>
      <w:bookmarkStart w:id="1" w:name="_Hlk514847850"/>
      <w:r>
        <w:t>Long -Term</w:t>
      </w:r>
      <w:r w:rsidR="00D43D34">
        <w:t xml:space="preserve"> Prophylaxis Planning</w:t>
      </w:r>
      <w:r>
        <w:t xml:space="preserve"> </w:t>
      </w:r>
      <w:r w:rsidR="00EE5D3E">
        <w:t>Workshop</w:t>
      </w:r>
      <w:bookmarkEnd w:id="1"/>
      <w:r w:rsidR="00940939">
        <w:br/>
      </w:r>
      <w:r w:rsidR="000438CF" w:rsidRPr="00D43D34">
        <w:rPr>
          <w:sz w:val="36"/>
          <w:szCs w:val="36"/>
        </w:rPr>
        <w:t>J</w:t>
      </w:r>
      <w:r w:rsidRPr="00D43D34">
        <w:rPr>
          <w:sz w:val="36"/>
          <w:szCs w:val="36"/>
        </w:rPr>
        <w:t>une 6</w:t>
      </w:r>
      <w:r w:rsidR="00940939" w:rsidRPr="00D43D34">
        <w:rPr>
          <w:sz w:val="36"/>
          <w:szCs w:val="36"/>
        </w:rPr>
        <w:t>, 201</w:t>
      </w:r>
      <w:r w:rsidRPr="00D43D34">
        <w:rPr>
          <w:sz w:val="36"/>
          <w:szCs w:val="36"/>
        </w:rPr>
        <w:t>8</w:t>
      </w:r>
    </w:p>
    <w:p w:rsidR="001F5E22" w:rsidRDefault="001F5E22" w:rsidP="00280C44">
      <w:pPr>
        <w:rPr>
          <w:noProof/>
        </w:rPr>
      </w:pPr>
    </w:p>
    <w:p w:rsidR="001F5E22" w:rsidRDefault="001F5E22" w:rsidP="00280C44">
      <w:pPr>
        <w:rPr>
          <w:noProof/>
        </w:rPr>
      </w:pPr>
    </w:p>
    <w:p w:rsidR="001F5E22" w:rsidRDefault="001F5E22" w:rsidP="00280C44">
      <w:pPr>
        <w:rPr>
          <w:noProof/>
        </w:rPr>
      </w:pPr>
    </w:p>
    <w:p w:rsidR="001F5E22" w:rsidRDefault="001F5E22" w:rsidP="00280C44">
      <w:pPr>
        <w:rPr>
          <w:noProof/>
        </w:rPr>
      </w:pPr>
    </w:p>
    <w:p w:rsidR="001F5E22" w:rsidRDefault="001F5E22" w:rsidP="00940939">
      <w:pPr>
        <w:rPr>
          <w:color w:val="17365D" w:themeColor="text2" w:themeShade="BF"/>
          <w:sz w:val="40"/>
          <w:szCs w:val="40"/>
        </w:rPr>
      </w:pPr>
    </w:p>
    <w:p w:rsidR="00DE4BE0" w:rsidRDefault="00DE4BE0" w:rsidP="00853CD8">
      <w:pPr>
        <w:rPr>
          <w:color w:val="17365D" w:themeColor="text2" w:themeShade="BF"/>
          <w:sz w:val="40"/>
          <w:szCs w:val="40"/>
        </w:rPr>
      </w:pPr>
    </w:p>
    <w:p w:rsidR="00DE4BE0" w:rsidRDefault="00DE4BE0" w:rsidP="00853CD8">
      <w:pPr>
        <w:rPr>
          <w:color w:val="17365D" w:themeColor="text2" w:themeShade="BF"/>
          <w:sz w:val="40"/>
          <w:szCs w:val="40"/>
        </w:rPr>
      </w:pPr>
    </w:p>
    <w:p w:rsidR="00DE4BE0" w:rsidRDefault="00DE4BE0" w:rsidP="00853CD8">
      <w:pPr>
        <w:rPr>
          <w:color w:val="17365D" w:themeColor="text2" w:themeShade="BF"/>
          <w:sz w:val="40"/>
          <w:szCs w:val="40"/>
        </w:rPr>
      </w:pPr>
    </w:p>
    <w:p w:rsidR="00B120E1" w:rsidRDefault="00B120E1" w:rsidP="00DE4BE0">
      <w:pPr>
        <w:jc w:val="right"/>
        <w:rPr>
          <w:color w:val="17365D" w:themeColor="text2" w:themeShade="BF"/>
          <w:sz w:val="40"/>
          <w:szCs w:val="40"/>
        </w:rPr>
      </w:pPr>
    </w:p>
    <w:p w:rsidR="00B120E1" w:rsidRDefault="00B120E1" w:rsidP="00DE4BE0">
      <w:pPr>
        <w:jc w:val="right"/>
        <w:rPr>
          <w:color w:val="17365D" w:themeColor="text2" w:themeShade="BF"/>
          <w:sz w:val="40"/>
          <w:szCs w:val="40"/>
        </w:rPr>
      </w:pPr>
    </w:p>
    <w:p w:rsidR="00B120E1" w:rsidRDefault="00B120E1" w:rsidP="00DE4BE0">
      <w:pPr>
        <w:jc w:val="right"/>
        <w:rPr>
          <w:color w:val="17365D" w:themeColor="text2" w:themeShade="BF"/>
          <w:sz w:val="40"/>
          <w:szCs w:val="40"/>
        </w:rPr>
      </w:pPr>
    </w:p>
    <w:p w:rsidR="00B120E1" w:rsidRDefault="00B120E1" w:rsidP="00DE4BE0">
      <w:pPr>
        <w:jc w:val="right"/>
        <w:rPr>
          <w:color w:val="17365D" w:themeColor="text2" w:themeShade="BF"/>
          <w:sz w:val="40"/>
          <w:szCs w:val="40"/>
        </w:rPr>
      </w:pPr>
    </w:p>
    <w:p w:rsidR="00B120E1" w:rsidRDefault="00B120E1" w:rsidP="00DE4BE0">
      <w:pPr>
        <w:jc w:val="right"/>
        <w:rPr>
          <w:color w:val="17365D" w:themeColor="text2" w:themeShade="BF"/>
          <w:sz w:val="40"/>
          <w:szCs w:val="40"/>
        </w:rPr>
      </w:pPr>
    </w:p>
    <w:p w:rsidR="007343CB" w:rsidRDefault="006A4CC5" w:rsidP="000A4BB5">
      <w:pPr>
        <w:jc w:val="right"/>
        <w:rPr>
          <w:color w:val="17365D" w:themeColor="text2" w:themeShade="BF"/>
          <w:sz w:val="40"/>
          <w:szCs w:val="40"/>
        </w:rPr>
      </w:pPr>
      <w:r w:rsidRPr="006A4CC5">
        <w:rPr>
          <w:color w:val="17365D" w:themeColor="text2" w:themeShade="BF"/>
          <w:sz w:val="40"/>
          <w:szCs w:val="40"/>
        </w:rPr>
        <w:t>Situation Manual</w:t>
      </w:r>
      <w:r w:rsidR="00940939">
        <w:rPr>
          <w:color w:val="17365D" w:themeColor="text2" w:themeShade="BF"/>
          <w:sz w:val="40"/>
          <w:szCs w:val="40"/>
        </w:rPr>
        <w:br/>
      </w:r>
      <w:r w:rsidR="00CA7F6D">
        <w:rPr>
          <w:color w:val="17365D" w:themeColor="text2" w:themeShade="BF"/>
          <w:sz w:val="28"/>
          <w:szCs w:val="28"/>
        </w:rPr>
        <w:t xml:space="preserve"> June </w:t>
      </w:r>
      <w:r w:rsidR="00940939" w:rsidRPr="00940939">
        <w:rPr>
          <w:color w:val="17365D" w:themeColor="text2" w:themeShade="BF"/>
          <w:sz w:val="28"/>
          <w:szCs w:val="28"/>
        </w:rPr>
        <w:t>201</w:t>
      </w:r>
      <w:r w:rsidR="00CC6E52">
        <w:rPr>
          <w:color w:val="17365D" w:themeColor="text2" w:themeShade="BF"/>
          <w:sz w:val="28"/>
          <w:szCs w:val="28"/>
        </w:rPr>
        <w:t>8</w:t>
      </w:r>
      <w:r w:rsidRPr="006A4CC5">
        <w:rPr>
          <w:color w:val="17365D" w:themeColor="text2" w:themeShade="BF"/>
          <w:sz w:val="40"/>
          <w:szCs w:val="40"/>
        </w:rPr>
        <w:t xml:space="preserve"> </w:t>
      </w:r>
      <w:r w:rsidR="00940939">
        <w:rPr>
          <w:color w:val="17365D" w:themeColor="text2" w:themeShade="BF"/>
          <w:sz w:val="40"/>
          <w:szCs w:val="40"/>
        </w:rPr>
        <w:br/>
      </w:r>
    </w:p>
    <w:p w:rsidR="006A4CC5" w:rsidRDefault="00A65150" w:rsidP="000A4BB5">
      <w:pPr>
        <w:tabs>
          <w:tab w:val="left" w:pos="615"/>
          <w:tab w:val="left" w:pos="2730"/>
          <w:tab w:val="right" w:pos="9360"/>
        </w:tabs>
        <w:rPr>
          <w:noProof/>
          <w:color w:val="17365D" w:themeColor="text2" w:themeShade="BF"/>
          <w:sz w:val="40"/>
          <w:szCs w:val="40"/>
        </w:rPr>
      </w:pPr>
      <w:r>
        <w:rPr>
          <w:noProof/>
          <w:color w:val="17365D" w:themeColor="text2" w:themeShade="BF"/>
          <w:sz w:val="40"/>
          <w:szCs w:val="40"/>
        </w:rPr>
        <w:lastRenderedPageBreak/>
        <w:tab/>
      </w:r>
      <w:r w:rsidR="00D36672">
        <w:rPr>
          <w:noProof/>
          <w:color w:val="17365D" w:themeColor="text2" w:themeShade="BF"/>
          <w:sz w:val="40"/>
          <w:szCs w:val="40"/>
        </w:rPr>
        <w:t xml:space="preserve"> </w:t>
      </w:r>
      <w:r>
        <w:rPr>
          <w:noProof/>
          <w:color w:val="17365D" w:themeColor="text2" w:themeShade="BF"/>
          <w:sz w:val="40"/>
          <w:szCs w:val="40"/>
        </w:rPr>
        <w:t xml:space="preserve">   </w:t>
      </w:r>
      <w:r w:rsidR="00D36672">
        <w:rPr>
          <w:noProof/>
          <w:color w:val="17365D" w:themeColor="text2" w:themeShade="BF"/>
          <w:sz w:val="40"/>
          <w:szCs w:val="40"/>
        </w:rPr>
        <w:t xml:space="preserve"> </w:t>
      </w:r>
    </w:p>
    <w:p w:rsidR="00EB169A" w:rsidRDefault="00EB169A" w:rsidP="000A4BB5">
      <w:pPr>
        <w:tabs>
          <w:tab w:val="left" w:pos="615"/>
          <w:tab w:val="left" w:pos="2730"/>
          <w:tab w:val="right" w:pos="9360"/>
        </w:tabs>
      </w:pPr>
    </w:p>
    <w:p w:rsidR="00EB169A" w:rsidRDefault="00EB169A" w:rsidP="000A4BB5">
      <w:pPr>
        <w:tabs>
          <w:tab w:val="left" w:pos="615"/>
          <w:tab w:val="left" w:pos="2730"/>
          <w:tab w:val="right" w:pos="9360"/>
        </w:tabs>
      </w:pPr>
    </w:p>
    <w:p w:rsidR="00EB169A" w:rsidRDefault="00EB169A" w:rsidP="000A4BB5">
      <w:pPr>
        <w:tabs>
          <w:tab w:val="left" w:pos="615"/>
          <w:tab w:val="left" w:pos="2730"/>
          <w:tab w:val="right" w:pos="9360"/>
        </w:tabs>
      </w:pPr>
    </w:p>
    <w:p w:rsidR="00EB169A" w:rsidRDefault="00EB169A" w:rsidP="000A4BB5">
      <w:pPr>
        <w:tabs>
          <w:tab w:val="left" w:pos="615"/>
          <w:tab w:val="left" w:pos="2730"/>
          <w:tab w:val="right" w:pos="9360"/>
        </w:tabs>
      </w:pPr>
    </w:p>
    <w:p w:rsidR="00EB169A" w:rsidRDefault="00EB169A" w:rsidP="000A4BB5">
      <w:pPr>
        <w:tabs>
          <w:tab w:val="left" w:pos="615"/>
          <w:tab w:val="left" w:pos="2730"/>
          <w:tab w:val="right" w:pos="9360"/>
        </w:tabs>
      </w:pPr>
    </w:p>
    <w:p w:rsidR="00EB169A" w:rsidRDefault="00EB169A" w:rsidP="000A4BB5">
      <w:pPr>
        <w:tabs>
          <w:tab w:val="left" w:pos="615"/>
          <w:tab w:val="left" w:pos="2730"/>
          <w:tab w:val="right" w:pos="9360"/>
        </w:tabs>
      </w:pPr>
    </w:p>
    <w:p w:rsidR="00EB169A" w:rsidRDefault="00EB169A" w:rsidP="000A4BB5">
      <w:pPr>
        <w:tabs>
          <w:tab w:val="left" w:pos="615"/>
          <w:tab w:val="left" w:pos="2730"/>
          <w:tab w:val="right" w:pos="9360"/>
        </w:tabs>
      </w:pPr>
    </w:p>
    <w:p w:rsidR="00EB169A" w:rsidRDefault="00EB169A" w:rsidP="000A4BB5">
      <w:pPr>
        <w:tabs>
          <w:tab w:val="left" w:pos="615"/>
          <w:tab w:val="left" w:pos="2730"/>
          <w:tab w:val="right" w:pos="9360"/>
        </w:tabs>
      </w:pPr>
    </w:p>
    <w:p w:rsidR="00EB169A" w:rsidRPr="00EB169A" w:rsidRDefault="00EB169A" w:rsidP="00EB169A">
      <w:pPr>
        <w:tabs>
          <w:tab w:val="left" w:pos="615"/>
          <w:tab w:val="left" w:pos="2730"/>
          <w:tab w:val="right" w:pos="9360"/>
        </w:tabs>
        <w:jc w:val="center"/>
        <w:rPr>
          <w:sz w:val="28"/>
          <w:szCs w:val="28"/>
        </w:rPr>
      </w:pPr>
    </w:p>
    <w:p w:rsidR="00EB169A" w:rsidRPr="005849DC" w:rsidRDefault="00EB169A" w:rsidP="00EB169A">
      <w:pPr>
        <w:tabs>
          <w:tab w:val="left" w:pos="615"/>
          <w:tab w:val="left" w:pos="2730"/>
          <w:tab w:val="right" w:pos="9360"/>
        </w:tabs>
        <w:jc w:val="center"/>
        <w:rPr>
          <w:sz w:val="24"/>
          <w:szCs w:val="24"/>
        </w:rPr>
        <w:sectPr w:rsidR="00EB169A" w:rsidRPr="005849DC" w:rsidSect="009409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pPr>
      <w:r w:rsidRPr="005849DC">
        <w:rPr>
          <w:sz w:val="24"/>
          <w:szCs w:val="24"/>
        </w:rPr>
        <w:t>This page is intentionally left blank.</w:t>
      </w:r>
    </w:p>
    <w:p w:rsidR="00A816AD" w:rsidRPr="00E51C76" w:rsidRDefault="006A4CC5" w:rsidP="00E51C76">
      <w:pPr>
        <w:pStyle w:val="Title"/>
        <w:rPr>
          <w:sz w:val="44"/>
          <w:szCs w:val="44"/>
        </w:rPr>
      </w:pPr>
      <w:r w:rsidRPr="00F736B3">
        <w:rPr>
          <w:sz w:val="44"/>
          <w:szCs w:val="44"/>
        </w:rPr>
        <w:t>Preface</w:t>
      </w:r>
    </w:p>
    <w:p w:rsidR="0023673F" w:rsidRPr="009D08C5" w:rsidRDefault="000136DA" w:rsidP="00676D5F">
      <w:r w:rsidRPr="009D08C5">
        <w:t xml:space="preserve">The </w:t>
      </w:r>
      <w:r w:rsidR="0023673F" w:rsidRPr="00676D5F">
        <w:t>Long -Term Prophylaxis Planning Workshop</w:t>
      </w:r>
      <w:r w:rsidR="0023673F" w:rsidRPr="009D08C5" w:rsidDel="0023673F">
        <w:t xml:space="preserve"> </w:t>
      </w:r>
      <w:r w:rsidR="0023673F" w:rsidRPr="009D08C5">
        <w:t>is sponsored by the Michigan Department of Health and Human Services (MDHHS) Division of Emergency Preparedness and Response (DEPR) and local health departments representing the Detroit Cities Readiness Initiative (CRI). This Situation Manual (</w:t>
      </w:r>
      <w:proofErr w:type="spellStart"/>
      <w:r w:rsidR="0023673F" w:rsidRPr="009D08C5">
        <w:t>SitMan</w:t>
      </w:r>
      <w:proofErr w:type="spellEnd"/>
      <w:r w:rsidR="0023673F" w:rsidRPr="009D08C5">
        <w:t xml:space="preserve">) was produced with input, advice, and assistance from Michigan’s Medical Countermeasures (MCM) Planning Team, which followed the guidance set forth in the Federal Emergency Management Agency (FEMA), Homeland Security Exercise and Evaluation Program (HSEEP). </w:t>
      </w:r>
    </w:p>
    <w:p w:rsidR="00A80C2D" w:rsidRPr="009D08C5" w:rsidRDefault="007E2615" w:rsidP="00676D5F">
      <w:r w:rsidRPr="009D08C5">
        <w:t xml:space="preserve">It is the intention of this workshop to </w:t>
      </w:r>
      <w:r w:rsidR="008C60F9" w:rsidRPr="009D08C5">
        <w:t>take the</w:t>
      </w:r>
      <w:r w:rsidR="004F581D" w:rsidRPr="009D08C5">
        <w:t xml:space="preserve"> next step </w:t>
      </w:r>
      <w:r w:rsidR="0090570D" w:rsidRPr="009D08C5">
        <w:t>in strengthening</w:t>
      </w:r>
      <w:r w:rsidR="004B3F29" w:rsidRPr="009D08C5">
        <w:t xml:space="preserve"> </w:t>
      </w:r>
      <w:r w:rsidR="0023673F" w:rsidRPr="009D08C5">
        <w:t>existing Strategic National Stockpile (SNS)</w:t>
      </w:r>
      <w:r w:rsidR="0054708D" w:rsidRPr="009D08C5">
        <w:t>,</w:t>
      </w:r>
      <w:r w:rsidR="00F6750C" w:rsidRPr="009D08C5">
        <w:t xml:space="preserve"> </w:t>
      </w:r>
      <w:r w:rsidR="00CA35B7" w:rsidRPr="009D08C5">
        <w:t>pandemic influenza,</w:t>
      </w:r>
      <w:r w:rsidR="00F6750C" w:rsidRPr="009D08C5">
        <w:t xml:space="preserve"> and </w:t>
      </w:r>
      <w:r w:rsidR="00CA35B7" w:rsidRPr="009D08C5">
        <w:t>mass vaccination</w:t>
      </w:r>
      <w:r w:rsidR="00F6750C" w:rsidRPr="009D08C5">
        <w:t xml:space="preserve"> </w:t>
      </w:r>
      <w:r w:rsidR="0023673F" w:rsidRPr="009D08C5">
        <w:t>p</w:t>
      </w:r>
      <w:r w:rsidR="00F6750C" w:rsidRPr="009D08C5">
        <w:t>lans</w:t>
      </w:r>
      <w:r w:rsidR="00F6750C" w:rsidRPr="00AD714D">
        <w:rPr>
          <w:strike/>
        </w:rPr>
        <w:t xml:space="preserve"> </w:t>
      </w:r>
      <w:r w:rsidR="00AD714D">
        <w:t xml:space="preserve">with </w:t>
      </w:r>
      <w:r w:rsidR="0054708D" w:rsidRPr="009D08C5">
        <w:t>procedure</w:t>
      </w:r>
      <w:r w:rsidR="004B3F29" w:rsidRPr="009D08C5">
        <w:t>s</w:t>
      </w:r>
      <w:r w:rsidR="0054708D" w:rsidRPr="009D08C5">
        <w:t xml:space="preserve"> and ca</w:t>
      </w:r>
      <w:r w:rsidR="00F6750C" w:rsidRPr="009D08C5">
        <w:t xml:space="preserve">pabilities related to </w:t>
      </w:r>
      <w:r w:rsidR="0090570D" w:rsidRPr="009D08C5">
        <w:t xml:space="preserve">extended </w:t>
      </w:r>
      <w:r w:rsidR="008C60F9" w:rsidRPr="009D08C5">
        <w:t>and long-term dispensing operation</w:t>
      </w:r>
      <w:r w:rsidR="004F581D" w:rsidRPr="009D08C5">
        <w:t xml:space="preserve">. </w:t>
      </w:r>
      <w:r w:rsidR="00CA35B7" w:rsidRPr="009D08C5">
        <w:t xml:space="preserve">DEPR personnel, tribal representatives, and local health department emergency preparedness coordinators (EPC) </w:t>
      </w:r>
      <w:r w:rsidR="00A816AD" w:rsidRPr="009D08C5">
        <w:t xml:space="preserve">will </w:t>
      </w:r>
      <w:r w:rsidR="00D53EF4" w:rsidRPr="009D08C5">
        <w:t>discuss considerations for long-term medical countermeasures distribution and dispensing plans</w:t>
      </w:r>
      <w:r w:rsidR="003C7924" w:rsidRPr="009D08C5">
        <w:t xml:space="preserve">. </w:t>
      </w:r>
      <w:r w:rsidR="008C60F9" w:rsidRPr="009D08C5">
        <w:t xml:space="preserve">Participants </w:t>
      </w:r>
      <w:r w:rsidR="003C7924" w:rsidRPr="009D08C5">
        <w:t>will also</w:t>
      </w:r>
      <w:r w:rsidR="00EE21C8" w:rsidRPr="009D08C5">
        <w:t xml:space="preserve"> </w:t>
      </w:r>
      <w:r w:rsidR="003C7924" w:rsidRPr="009D08C5">
        <w:t>consider</w:t>
      </w:r>
      <w:r w:rsidR="0090570D" w:rsidRPr="009D08C5">
        <w:t xml:space="preserve"> commonalities</w:t>
      </w:r>
      <w:r w:rsidR="00EE21C8" w:rsidRPr="009D08C5">
        <w:t>/</w:t>
      </w:r>
      <w:r w:rsidR="00D53EF4" w:rsidRPr="009D08C5">
        <w:t>differences</w:t>
      </w:r>
      <w:r w:rsidR="003C7924" w:rsidRPr="009D08C5">
        <w:t xml:space="preserve"> between jurisdictions while developing a</w:t>
      </w:r>
      <w:r w:rsidR="0090570D" w:rsidRPr="009D08C5">
        <w:t xml:space="preserve"> strategy </w:t>
      </w:r>
      <w:r w:rsidR="00A816AD" w:rsidRPr="009D08C5">
        <w:t>for their individual jurisdictions</w:t>
      </w:r>
      <w:r w:rsidR="003C7924" w:rsidRPr="009D08C5">
        <w:t>.</w:t>
      </w:r>
      <w:r w:rsidR="00A816AD" w:rsidRPr="009D08C5">
        <w:t xml:space="preserve"> </w:t>
      </w:r>
    </w:p>
    <w:p w:rsidR="00A80C2D" w:rsidRPr="009D08C5" w:rsidRDefault="00A80C2D" w:rsidP="00676D5F">
      <w:r w:rsidRPr="009D08C5">
        <w:t>This Situation Manual (</w:t>
      </w:r>
      <w:proofErr w:type="spellStart"/>
      <w:r w:rsidRPr="009D08C5">
        <w:t>SitMan</w:t>
      </w:r>
      <w:proofErr w:type="spellEnd"/>
      <w:r w:rsidRPr="009D08C5">
        <w:t xml:space="preserve">) provides participants with all the necessary tools for </w:t>
      </w:r>
      <w:r w:rsidR="003C7924" w:rsidRPr="009D08C5">
        <w:t>participation</w:t>
      </w:r>
      <w:r w:rsidRPr="009D08C5">
        <w:t xml:space="preserve"> in this workshop.  All participants should use appropriate guidelines to ensure the proper control of information within their areas of expertise and to protect this material in accordance with current jurisdictional directives. </w:t>
      </w:r>
    </w:p>
    <w:p w:rsidR="00760892" w:rsidRPr="0023673F" w:rsidRDefault="00760892" w:rsidP="00A80C2D">
      <w:pPr>
        <w:rPr>
          <w:sz w:val="24"/>
          <w:szCs w:val="24"/>
        </w:rPr>
      </w:pPr>
    </w:p>
    <w:p w:rsidR="00760892" w:rsidRDefault="00760892" w:rsidP="00F348E9">
      <w:pPr>
        <w:rPr>
          <w:sz w:val="24"/>
          <w:szCs w:val="24"/>
        </w:rPr>
      </w:pPr>
      <w:r>
        <w:rPr>
          <w:sz w:val="24"/>
          <w:szCs w:val="24"/>
        </w:rPr>
        <w:br w:type="page"/>
      </w:r>
    </w:p>
    <w:p w:rsidR="00AC5020" w:rsidRPr="007A0A19" w:rsidRDefault="00AC5020" w:rsidP="00AC5020">
      <w:pPr>
        <w:pStyle w:val="Title"/>
        <w:rPr>
          <w:sz w:val="44"/>
          <w:szCs w:val="44"/>
        </w:rPr>
      </w:pPr>
      <w:r w:rsidRPr="007A0A19">
        <w:rPr>
          <w:sz w:val="44"/>
          <w:szCs w:val="44"/>
        </w:rPr>
        <w:t>Handling Instructions</w:t>
      </w:r>
    </w:p>
    <w:p w:rsidR="00AC5020" w:rsidRPr="009D08C5" w:rsidRDefault="00AC5020" w:rsidP="00676D5F">
      <w:pPr>
        <w:spacing w:after="160" w:line="240" w:lineRule="auto"/>
        <w:ind w:left="360" w:hanging="360"/>
        <w:rPr>
          <w:rFonts w:eastAsia="Times New Roman" w:cs="Times New Roman"/>
          <w:szCs w:val="24"/>
        </w:rPr>
      </w:pPr>
      <w:r w:rsidRPr="009D08C5">
        <w:rPr>
          <w:rFonts w:eastAsia="Times New Roman" w:cs="Times New Roman"/>
          <w:szCs w:val="24"/>
        </w:rPr>
        <w:t>1.</w:t>
      </w:r>
      <w:r w:rsidRPr="009D08C5">
        <w:rPr>
          <w:rFonts w:eastAsia="Times New Roman" w:cs="Times New Roman"/>
          <w:szCs w:val="24"/>
        </w:rPr>
        <w:tab/>
        <w:t xml:space="preserve">The title of this document is </w:t>
      </w:r>
      <w:r w:rsidRPr="009D08C5">
        <w:rPr>
          <w:rFonts w:eastAsia="Times New Roman" w:cs="Times New Roman"/>
          <w:i/>
          <w:szCs w:val="24"/>
        </w:rPr>
        <w:t>Long Term Prophylaxis Planning Workshop.</w:t>
      </w:r>
    </w:p>
    <w:p w:rsidR="00AC5020" w:rsidRPr="009D08C5" w:rsidRDefault="00AC5020" w:rsidP="00676D5F">
      <w:pPr>
        <w:spacing w:after="160" w:line="240" w:lineRule="auto"/>
        <w:ind w:left="360" w:hanging="360"/>
        <w:rPr>
          <w:rFonts w:eastAsia="Times New Roman" w:cs="Times New Roman"/>
          <w:szCs w:val="24"/>
        </w:rPr>
      </w:pPr>
      <w:r w:rsidRPr="009D08C5">
        <w:rPr>
          <w:rFonts w:eastAsia="Times New Roman" w:cs="Times New Roman"/>
          <w:szCs w:val="24"/>
        </w:rPr>
        <w:t>2.</w:t>
      </w:r>
      <w:r w:rsidRPr="009D08C5">
        <w:rPr>
          <w:rFonts w:eastAsia="Times New Roman" w:cs="Times New Roman"/>
          <w:szCs w:val="24"/>
        </w:rPr>
        <w:tab/>
        <w:t xml:space="preserve">The information gathered in this </w:t>
      </w:r>
      <w:proofErr w:type="spellStart"/>
      <w:r w:rsidRPr="009D08C5">
        <w:rPr>
          <w:rFonts w:eastAsia="Times New Roman" w:cs="Times New Roman"/>
          <w:szCs w:val="24"/>
        </w:rPr>
        <w:t>SitMan</w:t>
      </w:r>
      <w:proofErr w:type="spellEnd"/>
      <w:r w:rsidRPr="009D08C5">
        <w:rPr>
          <w:rFonts w:eastAsia="Times New Roman" w:cs="Times New Roman"/>
          <w:szCs w:val="24"/>
        </w:rPr>
        <w:t xml:space="preserve"> is </w:t>
      </w:r>
      <w:r w:rsidRPr="009D08C5">
        <w:rPr>
          <w:rFonts w:eastAsia="Times New Roman" w:cs="Times New Roman"/>
          <w:i/>
          <w:szCs w:val="24"/>
        </w:rPr>
        <w:t>For Official Use Only (FOUO)</w:t>
      </w:r>
      <w:r w:rsidRPr="009D08C5">
        <w:rPr>
          <w:rFonts w:eastAsia="Times New Roman" w:cs="Times New Roman"/>
          <w:szCs w:val="24"/>
        </w:rPr>
        <w:t xml:space="preserve"> and should be handled as sensitive information not to be disclosed. This document should be safeguarded, handled, transmitted, and stored in accordance with appropriate security directives. Reproduction of this document, in whole or in part, without prior approval from the Michigan Department of Health and Human Services (MDHHS), Bureau of EMS, Trauma and Preparedness (BETP) Programs is prohibited.</w:t>
      </w:r>
    </w:p>
    <w:p w:rsidR="00AC5020" w:rsidRPr="009D08C5" w:rsidRDefault="00AC5020" w:rsidP="00676D5F">
      <w:pPr>
        <w:spacing w:after="160" w:line="240" w:lineRule="auto"/>
        <w:ind w:left="360" w:hanging="360"/>
        <w:rPr>
          <w:rFonts w:eastAsia="Times New Roman" w:cs="Times New Roman"/>
          <w:szCs w:val="24"/>
        </w:rPr>
      </w:pPr>
      <w:r w:rsidRPr="009D08C5">
        <w:rPr>
          <w:rFonts w:eastAsia="Times New Roman" w:cs="Times New Roman"/>
          <w:szCs w:val="24"/>
        </w:rPr>
        <w:t>3.</w:t>
      </w:r>
      <w:r w:rsidRPr="009D08C5">
        <w:rPr>
          <w:rFonts w:eastAsia="Times New Roman" w:cs="Times New Roman"/>
          <w:szCs w:val="24"/>
        </w:rPr>
        <w:tab/>
        <w:t>At a minimum, the attached materials will be disseminated only on a need-to-know basis and when unattended, should be stored in a locked container or area offering sufficient protection against theft, compromise, and inadvertent access.</w:t>
      </w:r>
    </w:p>
    <w:p w:rsidR="00AC5020" w:rsidRPr="009D08C5" w:rsidRDefault="00AC5020" w:rsidP="00676D5F">
      <w:pPr>
        <w:spacing w:after="160" w:line="240" w:lineRule="auto"/>
        <w:ind w:left="360" w:hanging="360"/>
        <w:rPr>
          <w:rFonts w:eastAsia="Times New Roman" w:cs="Times New Roman"/>
          <w:szCs w:val="24"/>
        </w:rPr>
      </w:pPr>
      <w:r w:rsidRPr="009D08C5">
        <w:rPr>
          <w:rFonts w:eastAsia="Times New Roman" w:cs="Times New Roman"/>
          <w:szCs w:val="24"/>
        </w:rPr>
        <w:t xml:space="preserve">4. </w:t>
      </w:r>
      <w:r w:rsidRPr="009D08C5">
        <w:rPr>
          <w:rFonts w:eastAsia="Times New Roman" w:cs="Times New Roman"/>
          <w:szCs w:val="24"/>
        </w:rPr>
        <w:tab/>
        <w:t xml:space="preserve">This publication was supported by the Cooperative Agreement Number </w:t>
      </w:r>
      <w:r w:rsidR="007905E2" w:rsidRPr="009D08C5">
        <w:t xml:space="preserve">6 NU90TP921906-01 </w:t>
      </w:r>
      <w:r w:rsidRPr="009D08C5">
        <w:rPr>
          <w:rFonts w:eastAsia="Times New Roman" w:cs="Times New Roman"/>
          <w:szCs w:val="24"/>
        </w:rPr>
        <w:t>from the Centers for Disease Control and Prevention (CDC) and the Office of Assistant Secretary for Preparedness and Response.</w:t>
      </w:r>
    </w:p>
    <w:p w:rsidR="00AC5020" w:rsidRPr="003C7924" w:rsidRDefault="00AC5020" w:rsidP="00676D5F">
      <w:pPr>
        <w:pStyle w:val="BodyText"/>
        <w:tabs>
          <w:tab w:val="left" w:pos="360"/>
          <w:tab w:val="left" w:pos="5490"/>
        </w:tabs>
        <w:rPr>
          <w:rFonts w:asciiTheme="minorHAnsi" w:hAnsiTheme="minorHAnsi" w:cstheme="minorHAnsi"/>
        </w:rPr>
      </w:pPr>
      <w:r w:rsidRPr="009D08C5">
        <w:rPr>
          <w:rFonts w:asciiTheme="minorHAnsi" w:hAnsiTheme="minorHAnsi" w:cstheme="minorHAnsi"/>
          <w:sz w:val="22"/>
        </w:rPr>
        <w:t>5.</w:t>
      </w:r>
      <w:r w:rsidRPr="009D08C5">
        <w:rPr>
          <w:rFonts w:asciiTheme="minorHAnsi" w:hAnsiTheme="minorHAnsi" w:cstheme="minorHAnsi"/>
          <w:sz w:val="22"/>
        </w:rPr>
        <w:tab/>
        <w:t>For more information, please consult the following points of contact (POCs):</w:t>
      </w:r>
      <w:r w:rsidRPr="003C7924">
        <w:rPr>
          <w:rFonts w:asciiTheme="minorHAnsi" w:hAnsiTheme="minorHAnsi" w:cstheme="minorHAnsi"/>
        </w:rPr>
        <w:br/>
      </w:r>
    </w:p>
    <w:p w:rsidR="00AC5020" w:rsidRDefault="00AC5020" w:rsidP="00AC5020">
      <w:pPr>
        <w:spacing w:after="0" w:line="240" w:lineRule="auto"/>
        <w:ind w:left="360"/>
        <w:rPr>
          <w:b/>
          <w:shd w:val="clear" w:color="auto" w:fill="632423"/>
        </w:rPr>
      </w:pPr>
      <w:r>
        <w:rPr>
          <w:b/>
          <w:shd w:val="clear" w:color="auto" w:fill="632423"/>
        </w:rPr>
        <w:t>Michigan Medical Countermeasures (MCM)</w:t>
      </w:r>
      <w:r w:rsidRPr="000847DE">
        <w:rPr>
          <w:b/>
          <w:shd w:val="clear" w:color="auto" w:fill="632423"/>
        </w:rPr>
        <w:t xml:space="preserve"> POC:</w:t>
      </w:r>
    </w:p>
    <w:p w:rsidR="00AC5020" w:rsidRDefault="00AC5020" w:rsidP="00AC5020">
      <w:pPr>
        <w:spacing w:after="0" w:line="240" w:lineRule="auto"/>
        <w:ind w:left="360"/>
        <w:rPr>
          <w:rFonts w:eastAsia="Times New Roman" w:cs="Times New Roman"/>
          <w:sz w:val="24"/>
          <w:szCs w:val="24"/>
        </w:rPr>
      </w:pPr>
    </w:p>
    <w:p w:rsidR="00AC5020" w:rsidRPr="00D97DA8" w:rsidRDefault="00AC5020" w:rsidP="00AC5020">
      <w:pPr>
        <w:spacing w:after="0" w:line="240" w:lineRule="auto"/>
        <w:ind w:left="720" w:hanging="360"/>
        <w:rPr>
          <w:rFonts w:eastAsia="Times New Roman" w:cs="Times New Roman"/>
        </w:rPr>
      </w:pPr>
      <w:r w:rsidRPr="00D97DA8">
        <w:rPr>
          <w:rFonts w:eastAsia="Times New Roman" w:cs="Times New Roman"/>
        </w:rPr>
        <w:t xml:space="preserve">Jason </w:t>
      </w:r>
      <w:r w:rsidR="007905E2">
        <w:rPr>
          <w:rFonts w:eastAsia="Times New Roman" w:cs="Times New Roman"/>
        </w:rPr>
        <w:t xml:space="preserve">E. </w:t>
      </w:r>
      <w:r w:rsidRPr="00D97DA8">
        <w:rPr>
          <w:rFonts w:eastAsia="Times New Roman" w:cs="Times New Roman"/>
        </w:rPr>
        <w:t>Smith</w:t>
      </w:r>
    </w:p>
    <w:p w:rsidR="00AC5020" w:rsidRPr="00D97DA8" w:rsidRDefault="00AC5020" w:rsidP="00AC5020">
      <w:pPr>
        <w:spacing w:after="0" w:line="240" w:lineRule="auto"/>
        <w:ind w:left="720" w:hanging="360"/>
        <w:rPr>
          <w:rFonts w:eastAsia="Times New Roman" w:cs="Times New Roman"/>
        </w:rPr>
      </w:pPr>
      <w:r w:rsidRPr="00D97DA8">
        <w:rPr>
          <w:rFonts w:eastAsia="Times New Roman" w:cs="Times New Roman"/>
        </w:rPr>
        <w:t>Medical Countermeasures Specialist</w:t>
      </w:r>
      <w:r w:rsidR="007905E2">
        <w:rPr>
          <w:rFonts w:eastAsia="Times New Roman" w:cs="Times New Roman"/>
        </w:rPr>
        <w:t xml:space="preserve"> (SNS Coordinator)</w:t>
      </w:r>
    </w:p>
    <w:p w:rsidR="00AC5020" w:rsidRPr="00D97DA8" w:rsidRDefault="00AC5020" w:rsidP="00AC5020">
      <w:pPr>
        <w:spacing w:after="0" w:line="240" w:lineRule="auto"/>
        <w:ind w:left="720" w:hanging="360"/>
        <w:rPr>
          <w:rFonts w:eastAsia="Times New Roman" w:cs="Times New Roman"/>
        </w:rPr>
      </w:pPr>
      <w:r w:rsidRPr="00D97DA8">
        <w:rPr>
          <w:rFonts w:eastAsia="Times New Roman" w:cs="Times New Roman"/>
        </w:rPr>
        <w:t>Michigan Department of Health and Human Services</w:t>
      </w:r>
    </w:p>
    <w:p w:rsidR="00AC5020" w:rsidRPr="00D97DA8" w:rsidRDefault="00AC5020" w:rsidP="00AC5020">
      <w:pPr>
        <w:spacing w:after="0" w:line="240" w:lineRule="auto"/>
        <w:ind w:left="720" w:hanging="360"/>
        <w:rPr>
          <w:rFonts w:eastAsia="Times New Roman" w:cs="Times New Roman"/>
        </w:rPr>
      </w:pPr>
      <w:r w:rsidRPr="00D97DA8">
        <w:rPr>
          <w:rFonts w:eastAsia="Times New Roman" w:cs="Times New Roman"/>
        </w:rPr>
        <w:t>Bureau of EMS, Trauma and Preparedness</w:t>
      </w:r>
    </w:p>
    <w:p w:rsidR="00AC5020" w:rsidRPr="00D97DA8" w:rsidRDefault="000E205C" w:rsidP="00AC5020">
      <w:pPr>
        <w:spacing w:after="0" w:line="240" w:lineRule="auto"/>
        <w:ind w:left="720" w:hanging="360"/>
        <w:rPr>
          <w:rFonts w:eastAsia="Times New Roman" w:cs="Times New Roman"/>
        </w:rPr>
      </w:pPr>
      <w:hyperlink r:id="rId15" w:history="1">
        <w:r w:rsidR="00AC5020" w:rsidRPr="00D97DA8">
          <w:rPr>
            <w:rStyle w:val="Hyperlink"/>
            <w:rFonts w:eastAsia="Times New Roman" w:cs="Times New Roman"/>
          </w:rPr>
          <w:t>smithj20@michigan.gov</w:t>
        </w:r>
      </w:hyperlink>
      <w:r w:rsidR="00AC5020" w:rsidRPr="00D97DA8">
        <w:rPr>
          <w:rFonts w:eastAsia="Times New Roman" w:cs="Times New Roman"/>
        </w:rPr>
        <w:t xml:space="preserve"> </w:t>
      </w:r>
    </w:p>
    <w:p w:rsidR="00AC5020" w:rsidRDefault="00AC5020" w:rsidP="00AC5020">
      <w:pPr>
        <w:pStyle w:val="BodyText"/>
      </w:pPr>
    </w:p>
    <w:p w:rsidR="00AC5020" w:rsidRDefault="00AC5020" w:rsidP="00AC5020">
      <w:pPr>
        <w:spacing w:after="0" w:line="240" w:lineRule="auto"/>
        <w:ind w:left="360"/>
        <w:rPr>
          <w:b/>
          <w:shd w:val="clear" w:color="auto" w:fill="632423"/>
        </w:rPr>
      </w:pPr>
      <w:r w:rsidRPr="000847DE">
        <w:rPr>
          <w:b/>
          <w:shd w:val="clear" w:color="auto" w:fill="632423"/>
        </w:rPr>
        <w:t>Lead Exercise Planner POC:</w:t>
      </w:r>
    </w:p>
    <w:p w:rsidR="00AC5020" w:rsidRPr="00D97DA8" w:rsidRDefault="00AC5020" w:rsidP="00AC5020">
      <w:pPr>
        <w:spacing w:after="0" w:line="240" w:lineRule="auto"/>
        <w:ind w:left="360"/>
        <w:rPr>
          <w:rFonts w:eastAsia="Times New Roman" w:cs="Times New Roman"/>
        </w:rPr>
      </w:pPr>
      <w:r w:rsidRPr="00D47C75">
        <w:rPr>
          <w:rFonts w:eastAsia="Times New Roman" w:cs="Times New Roman"/>
          <w:shd w:val="clear" w:color="auto" w:fill="FFFFFF"/>
        </w:rPr>
        <w:br/>
      </w:r>
      <w:r w:rsidRPr="00D97DA8">
        <w:rPr>
          <w:rFonts w:eastAsia="Times New Roman" w:cs="Times New Roman"/>
        </w:rPr>
        <w:t>Jeannie Byrne</w:t>
      </w:r>
    </w:p>
    <w:p w:rsidR="00AC5020" w:rsidRPr="00D97DA8" w:rsidRDefault="007905E2" w:rsidP="00AC5020">
      <w:pPr>
        <w:spacing w:after="0" w:line="240" w:lineRule="auto"/>
        <w:ind w:left="360"/>
        <w:rPr>
          <w:rFonts w:eastAsia="Times New Roman" w:cs="Times New Roman"/>
        </w:rPr>
      </w:pPr>
      <w:r>
        <w:rPr>
          <w:rFonts w:eastAsia="Times New Roman" w:cs="Times New Roman"/>
        </w:rPr>
        <w:t>Cities</w:t>
      </w:r>
      <w:r w:rsidRPr="00D97DA8">
        <w:rPr>
          <w:rFonts w:eastAsia="Times New Roman" w:cs="Times New Roman"/>
        </w:rPr>
        <w:t xml:space="preserve"> </w:t>
      </w:r>
      <w:r w:rsidR="00AC5020" w:rsidRPr="00D97DA8">
        <w:rPr>
          <w:rFonts w:eastAsia="Times New Roman" w:cs="Times New Roman"/>
        </w:rPr>
        <w:t>Readiness Initiative Analyst</w:t>
      </w:r>
      <w:r w:rsidR="00AC5020" w:rsidRPr="00D97DA8">
        <w:rPr>
          <w:rFonts w:eastAsia="Times New Roman" w:cs="Times New Roman"/>
        </w:rPr>
        <w:br/>
        <w:t>Michigan Department of Health and Human Services</w:t>
      </w:r>
      <w:r w:rsidR="00AC5020" w:rsidRPr="00D97DA8">
        <w:rPr>
          <w:rFonts w:eastAsia="Times New Roman" w:cs="Times New Roman"/>
        </w:rPr>
        <w:br/>
        <w:t>Bureau of EMS, Trauma and Preparedness</w:t>
      </w:r>
      <w:r w:rsidR="00AC5020" w:rsidRPr="00D97DA8">
        <w:rPr>
          <w:rFonts w:eastAsia="Times New Roman" w:cs="Times New Roman"/>
        </w:rPr>
        <w:br/>
      </w:r>
      <w:hyperlink r:id="rId16" w:history="1">
        <w:r w:rsidR="00AC5020" w:rsidRPr="00D97DA8">
          <w:rPr>
            <w:rStyle w:val="Hyperlink"/>
            <w:rFonts w:eastAsia="Times New Roman" w:cs="Times New Roman"/>
          </w:rPr>
          <w:t>bynej2@michigan.gov</w:t>
        </w:r>
      </w:hyperlink>
      <w:r w:rsidR="00AC5020" w:rsidRPr="00D97DA8">
        <w:rPr>
          <w:rFonts w:eastAsia="Times New Roman" w:cs="Times New Roman"/>
        </w:rPr>
        <w:t xml:space="preserve"> </w:t>
      </w:r>
    </w:p>
    <w:p w:rsidR="00AC5020" w:rsidRDefault="00AC5020" w:rsidP="00AC5020">
      <w:pPr>
        <w:spacing w:after="0" w:line="240" w:lineRule="auto"/>
        <w:ind w:left="360"/>
        <w:rPr>
          <w:rFonts w:eastAsia="Times New Roman" w:cs="Times New Roman"/>
        </w:rPr>
      </w:pPr>
    </w:p>
    <w:p w:rsidR="00AC5020" w:rsidRDefault="00AC5020" w:rsidP="00AC5020">
      <w:pPr>
        <w:spacing w:after="0" w:line="240" w:lineRule="auto"/>
        <w:ind w:left="360"/>
        <w:rPr>
          <w:b/>
          <w:shd w:val="clear" w:color="auto" w:fill="632423"/>
        </w:rPr>
      </w:pPr>
      <w:r>
        <w:rPr>
          <w:b/>
          <w:shd w:val="clear" w:color="auto" w:fill="632423"/>
        </w:rPr>
        <w:t>Planning Partners:</w:t>
      </w:r>
    </w:p>
    <w:p w:rsidR="00AC5020" w:rsidRPr="00D47C75" w:rsidRDefault="00AC5020" w:rsidP="00AC5020">
      <w:pPr>
        <w:spacing w:after="0" w:line="240" w:lineRule="auto"/>
        <w:ind w:left="360"/>
        <w:rPr>
          <w:rFonts w:eastAsia="Times New Roman" w:cs="Times New Roman"/>
        </w:rPr>
      </w:pPr>
    </w:p>
    <w:p w:rsidR="00AC5020" w:rsidRPr="00D97DA8" w:rsidRDefault="00AC5020" w:rsidP="00AC5020">
      <w:pPr>
        <w:spacing w:after="0" w:line="240" w:lineRule="auto"/>
        <w:ind w:left="360"/>
        <w:rPr>
          <w:rFonts w:eastAsia="Times New Roman" w:cs="Times New Roman"/>
        </w:rPr>
      </w:pPr>
      <w:r w:rsidRPr="00D97DA8">
        <w:rPr>
          <w:rFonts w:eastAsia="Times New Roman" w:cs="Times New Roman"/>
        </w:rPr>
        <w:t xml:space="preserve">Briana Barnes, </w:t>
      </w:r>
      <w:r w:rsidR="007905E2">
        <w:rPr>
          <w:rFonts w:eastAsia="Times New Roman" w:cs="Times New Roman"/>
        </w:rPr>
        <w:t>Michigan Department of Health and Human Services</w:t>
      </w:r>
      <w:r w:rsidRPr="00D97DA8">
        <w:rPr>
          <w:rFonts w:eastAsia="Times New Roman" w:cs="Times New Roman"/>
        </w:rPr>
        <w:t xml:space="preserve"> </w:t>
      </w:r>
      <w:r w:rsidRPr="00D97DA8">
        <w:rPr>
          <w:rFonts w:eastAsia="Times New Roman" w:cs="Times New Roman"/>
        </w:rPr>
        <w:br/>
        <w:t>Denise Fleming</w:t>
      </w:r>
      <w:r w:rsidR="007905E2">
        <w:rPr>
          <w:rFonts w:eastAsia="Times New Roman" w:cs="Times New Roman"/>
        </w:rPr>
        <w:t>, Michigan Department of Health and Human Services</w:t>
      </w:r>
    </w:p>
    <w:p w:rsidR="00AC5020" w:rsidRPr="00D97DA8" w:rsidRDefault="00AC5020" w:rsidP="00AC5020">
      <w:pPr>
        <w:spacing w:after="0" w:line="240" w:lineRule="auto"/>
        <w:ind w:firstLine="360"/>
        <w:rPr>
          <w:rFonts w:eastAsia="Times New Roman" w:cs="Times New Roman"/>
        </w:rPr>
      </w:pPr>
      <w:r w:rsidRPr="00D97DA8">
        <w:rPr>
          <w:rFonts w:eastAsia="Times New Roman" w:cs="Times New Roman"/>
        </w:rPr>
        <w:t xml:space="preserve">Tom Barnes, </w:t>
      </w:r>
      <w:r w:rsidR="007905E2">
        <w:rPr>
          <w:rFonts w:eastAsia="Times New Roman" w:cs="Times New Roman"/>
        </w:rPr>
        <w:t>Macomb County Health Department</w:t>
      </w:r>
      <w:r w:rsidRPr="00D97DA8">
        <w:rPr>
          <w:rFonts w:eastAsia="Times New Roman" w:cs="Times New Roman"/>
        </w:rPr>
        <w:t xml:space="preserve"> </w:t>
      </w:r>
    </w:p>
    <w:p w:rsidR="00AC5020" w:rsidRPr="00D97DA8" w:rsidRDefault="00AC5020" w:rsidP="00AC5020">
      <w:pPr>
        <w:spacing w:after="0" w:line="240" w:lineRule="auto"/>
        <w:ind w:left="360"/>
        <w:rPr>
          <w:rFonts w:eastAsia="Times New Roman" w:cs="Times New Roman"/>
        </w:rPr>
      </w:pPr>
      <w:r w:rsidRPr="00D97DA8">
        <w:rPr>
          <w:rFonts w:eastAsia="Times New Roman" w:cs="Times New Roman"/>
        </w:rPr>
        <w:t xml:space="preserve">Lyndsay Gestro, </w:t>
      </w:r>
      <w:r w:rsidR="007905E2">
        <w:rPr>
          <w:rFonts w:eastAsia="Times New Roman" w:cs="Times New Roman"/>
        </w:rPr>
        <w:t>Livingston County Health Department</w:t>
      </w:r>
    </w:p>
    <w:p w:rsidR="00AC5020" w:rsidRPr="00D97DA8" w:rsidRDefault="00AC5020" w:rsidP="00AC5020">
      <w:pPr>
        <w:spacing w:after="0" w:line="240" w:lineRule="auto"/>
        <w:ind w:left="360"/>
        <w:rPr>
          <w:rFonts w:eastAsia="Times New Roman" w:cs="Times New Roman"/>
        </w:rPr>
      </w:pPr>
      <w:r w:rsidRPr="00D97DA8">
        <w:rPr>
          <w:rFonts w:eastAsia="Times New Roman" w:cs="Times New Roman"/>
        </w:rPr>
        <w:t xml:space="preserve">Marilyn Szost, </w:t>
      </w:r>
      <w:r w:rsidR="007905E2">
        <w:rPr>
          <w:rFonts w:eastAsia="Times New Roman" w:cs="Times New Roman"/>
        </w:rPr>
        <w:t>Lapeer County Health Department</w:t>
      </w:r>
    </w:p>
    <w:p w:rsidR="00AC5020" w:rsidRPr="000A7535" w:rsidRDefault="00AC5020" w:rsidP="00F348E9">
      <w:pPr>
        <w:rPr>
          <w:sz w:val="24"/>
          <w:szCs w:val="24"/>
        </w:rPr>
        <w:sectPr w:rsidR="00AC5020" w:rsidRPr="000A7535">
          <w:pgSz w:w="12240" w:h="15840"/>
          <w:pgMar w:top="1440" w:right="1440" w:bottom="1440" w:left="1440" w:header="720" w:footer="720" w:gutter="0"/>
          <w:cols w:space="720"/>
          <w:docGrid w:linePitch="360"/>
        </w:sectPr>
      </w:pPr>
    </w:p>
    <w:p w:rsidR="006A4CC5" w:rsidRPr="00E20B21" w:rsidRDefault="006A4CC5" w:rsidP="006A4CC5">
      <w:pPr>
        <w:pStyle w:val="Title"/>
        <w:tabs>
          <w:tab w:val="right" w:pos="9360"/>
        </w:tabs>
        <w:rPr>
          <w:sz w:val="44"/>
          <w:szCs w:val="44"/>
        </w:rPr>
      </w:pPr>
      <w:r w:rsidRPr="00E20B21">
        <w:rPr>
          <w:sz w:val="44"/>
          <w:szCs w:val="44"/>
        </w:rPr>
        <w:t>Table of Contents</w:t>
      </w:r>
      <w:r w:rsidRPr="00E20B21">
        <w:rPr>
          <w:sz w:val="44"/>
          <w:szCs w:val="44"/>
        </w:rPr>
        <w:tab/>
      </w:r>
    </w:p>
    <w:p w:rsidR="00E20B21" w:rsidRDefault="00E20B21" w:rsidP="00676D5F">
      <w:pPr>
        <w:pStyle w:val="TOC1"/>
      </w:pPr>
      <w:r w:rsidRPr="00E20B21">
        <w:t>Preface</w:t>
      </w:r>
      <w:r w:rsidR="00362DE5">
        <w:tab/>
      </w:r>
      <w:r w:rsidR="005849DC">
        <w:t>3</w:t>
      </w:r>
    </w:p>
    <w:p w:rsidR="00AC5020" w:rsidRPr="00362DE5" w:rsidRDefault="00AC5020" w:rsidP="00676D5F">
      <w:pPr>
        <w:pStyle w:val="TOC1"/>
      </w:pPr>
      <w:r w:rsidRPr="00E20B21">
        <w:t>Handling Instructions</w:t>
      </w:r>
      <w:r w:rsidRPr="00E20B21">
        <w:rPr>
          <w:webHidden/>
        </w:rPr>
        <w:tab/>
      </w:r>
      <w:r w:rsidR="005849DC">
        <w:rPr>
          <w:webHidden/>
        </w:rPr>
        <w:t>4</w:t>
      </w:r>
    </w:p>
    <w:p w:rsidR="006A4CC5" w:rsidRPr="00362DE5" w:rsidRDefault="00AC5020" w:rsidP="00676D5F">
      <w:pPr>
        <w:pStyle w:val="TOC1"/>
      </w:pPr>
      <w:r>
        <w:t>Table of Contents</w:t>
      </w:r>
      <w:r w:rsidR="006A4CC5" w:rsidRPr="00E20B21">
        <w:rPr>
          <w:webHidden/>
        </w:rPr>
        <w:tab/>
      </w:r>
      <w:r w:rsidR="005849DC">
        <w:rPr>
          <w:webHidden/>
        </w:rPr>
        <w:t>5</w:t>
      </w:r>
    </w:p>
    <w:p w:rsidR="00CC54C3" w:rsidRPr="00676D5F" w:rsidRDefault="00CC54C3" w:rsidP="00676D5F">
      <w:pPr>
        <w:pStyle w:val="TOC1"/>
      </w:pPr>
      <w:r w:rsidRPr="00676D5F">
        <w:t>Chapter I: General Overview…………………………………………………………</w:t>
      </w:r>
      <w:r w:rsidR="005849DC">
        <w:t>6</w:t>
      </w:r>
    </w:p>
    <w:p w:rsidR="006A4CC5" w:rsidRDefault="00CC54C3" w:rsidP="00676D5F">
      <w:pPr>
        <w:pStyle w:val="TOC1"/>
        <w:rPr>
          <w:webHidden/>
        </w:rPr>
      </w:pPr>
      <w:r>
        <w:t xml:space="preserve">     </w:t>
      </w:r>
      <w:bookmarkStart w:id="2" w:name="_Hlk514828374"/>
      <w:r w:rsidR="00547408" w:rsidRPr="00E20B21">
        <w:t>Workshop</w:t>
      </w:r>
      <w:r w:rsidR="00AE1CA8" w:rsidRPr="00E20B21">
        <w:t xml:space="preserve"> Overview</w:t>
      </w:r>
      <w:r w:rsidR="006A4CC5" w:rsidRPr="00E20B21">
        <w:rPr>
          <w:webHidden/>
        </w:rPr>
        <w:tab/>
      </w:r>
      <w:r w:rsidR="005849DC">
        <w:rPr>
          <w:webHidden/>
        </w:rPr>
        <w:t>6</w:t>
      </w:r>
    </w:p>
    <w:bookmarkEnd w:id="2"/>
    <w:p w:rsidR="00CC54C3" w:rsidRDefault="00CC54C3" w:rsidP="00676D5F">
      <w:pPr>
        <w:pStyle w:val="TOC1"/>
        <w:rPr>
          <w:webHidden/>
        </w:rPr>
      </w:pPr>
      <w:r>
        <w:t xml:space="preserve">     Background</w:t>
      </w:r>
      <w:r w:rsidRPr="00E20B21">
        <w:rPr>
          <w:webHidden/>
        </w:rPr>
        <w:tab/>
      </w:r>
      <w:r w:rsidR="005849DC">
        <w:rPr>
          <w:webHidden/>
        </w:rPr>
        <w:t>7</w:t>
      </w:r>
    </w:p>
    <w:p w:rsidR="00CC54C3" w:rsidRDefault="00CC54C3" w:rsidP="00676D5F">
      <w:pPr>
        <w:pStyle w:val="TOC1"/>
        <w:rPr>
          <w:webHidden/>
        </w:rPr>
      </w:pPr>
      <w:r>
        <w:t xml:space="preserve">     Scenario</w:t>
      </w:r>
      <w:r w:rsidRPr="00E20B21">
        <w:rPr>
          <w:webHidden/>
        </w:rPr>
        <w:tab/>
      </w:r>
      <w:r w:rsidR="005849DC">
        <w:rPr>
          <w:webHidden/>
        </w:rPr>
        <w:t>8-10</w:t>
      </w:r>
    </w:p>
    <w:p w:rsidR="00CC54C3" w:rsidRPr="00676D5F" w:rsidRDefault="00CC54C3" w:rsidP="00676D5F">
      <w:pPr>
        <w:pStyle w:val="TOC1"/>
        <w:rPr>
          <w:webHidden/>
        </w:rPr>
      </w:pPr>
      <w:r w:rsidRPr="00676D5F">
        <w:t xml:space="preserve">     Assumptions</w:t>
      </w:r>
      <w:r w:rsidRPr="00676D5F">
        <w:rPr>
          <w:webHidden/>
        </w:rPr>
        <w:tab/>
      </w:r>
      <w:r w:rsidR="005849DC">
        <w:rPr>
          <w:webHidden/>
        </w:rPr>
        <w:t>10</w:t>
      </w:r>
    </w:p>
    <w:p w:rsidR="00760892" w:rsidRPr="00676D5F" w:rsidRDefault="00760892" w:rsidP="00676D5F">
      <w:pPr>
        <w:pStyle w:val="TOC1"/>
      </w:pPr>
      <w:r w:rsidRPr="00676D5F">
        <w:t>Chapter I</w:t>
      </w:r>
      <w:r w:rsidR="0088620C" w:rsidRPr="00676D5F">
        <w:t>I</w:t>
      </w:r>
      <w:r w:rsidRPr="00676D5F">
        <w:t xml:space="preserve">: </w:t>
      </w:r>
      <w:r w:rsidR="005849DC">
        <w:t>Breakout Session</w:t>
      </w:r>
      <w:r w:rsidR="00E94D99">
        <w:t>.</w:t>
      </w:r>
      <w:r w:rsidRPr="00676D5F">
        <w:t>……………………………………………………</w:t>
      </w:r>
      <w:r w:rsidR="005849DC">
        <w:t>...11</w:t>
      </w:r>
    </w:p>
    <w:p w:rsidR="006A4CC5" w:rsidRDefault="00CC54C3" w:rsidP="00676D5F">
      <w:pPr>
        <w:pStyle w:val="TOC1"/>
        <w:rPr>
          <w:webHidden/>
        </w:rPr>
      </w:pPr>
      <w:r>
        <w:rPr>
          <w:rFonts w:asciiTheme="minorHAnsi" w:eastAsiaTheme="minorHAnsi" w:hAnsiTheme="minorHAnsi" w:cstheme="minorBidi"/>
          <w:noProof w:val="0"/>
          <w:color w:val="auto"/>
          <w:sz w:val="22"/>
          <w:szCs w:val="22"/>
        </w:rPr>
        <w:t xml:space="preserve">     </w:t>
      </w:r>
      <w:r w:rsidR="00547408" w:rsidRPr="00E20B21">
        <w:t>Agenda</w:t>
      </w:r>
      <w:r w:rsidR="006A4CC5" w:rsidRPr="00E20B21">
        <w:rPr>
          <w:webHidden/>
        </w:rPr>
        <w:tab/>
      </w:r>
      <w:r w:rsidR="0088620C">
        <w:rPr>
          <w:webHidden/>
        </w:rPr>
        <w:t>1</w:t>
      </w:r>
      <w:r w:rsidR="005849DC">
        <w:rPr>
          <w:webHidden/>
        </w:rPr>
        <w:t>1</w:t>
      </w:r>
    </w:p>
    <w:p w:rsidR="00CC54C3" w:rsidRPr="00362DE5" w:rsidRDefault="00CC54C3" w:rsidP="00676D5F">
      <w:pPr>
        <w:pStyle w:val="TOC1"/>
      </w:pPr>
      <w:r>
        <w:rPr>
          <w:rFonts w:asciiTheme="minorHAnsi" w:eastAsiaTheme="minorHAnsi" w:hAnsiTheme="minorHAnsi" w:cstheme="minorBidi"/>
          <w:noProof w:val="0"/>
          <w:color w:val="auto"/>
          <w:sz w:val="22"/>
          <w:szCs w:val="22"/>
        </w:rPr>
        <w:t xml:space="preserve">     </w:t>
      </w:r>
      <w:r w:rsidR="00AB68A4">
        <w:t>Exercise Objectives</w:t>
      </w:r>
      <w:r w:rsidRPr="00E20B21">
        <w:rPr>
          <w:webHidden/>
        </w:rPr>
        <w:tab/>
      </w:r>
      <w:r w:rsidR="0088620C">
        <w:rPr>
          <w:webHidden/>
        </w:rPr>
        <w:t>1</w:t>
      </w:r>
      <w:r w:rsidR="005849DC">
        <w:rPr>
          <w:webHidden/>
        </w:rPr>
        <w:t>2-14</w:t>
      </w:r>
    </w:p>
    <w:p w:rsidR="00760892" w:rsidRPr="00362DE5" w:rsidRDefault="00760892" w:rsidP="00676D5F">
      <w:pPr>
        <w:pStyle w:val="TOC1"/>
      </w:pPr>
      <w:r>
        <w:rPr>
          <w:rFonts w:asciiTheme="minorHAnsi" w:eastAsiaTheme="minorHAnsi" w:hAnsiTheme="minorHAnsi" w:cstheme="minorBidi"/>
          <w:noProof w:val="0"/>
          <w:color w:val="auto"/>
          <w:sz w:val="22"/>
          <w:szCs w:val="22"/>
        </w:rPr>
        <w:t xml:space="preserve">     </w:t>
      </w:r>
      <w:r>
        <w:t>Appendix</w:t>
      </w:r>
      <w:r w:rsidRPr="00E20B21">
        <w:rPr>
          <w:webHidden/>
        </w:rPr>
        <w:tab/>
      </w:r>
      <w:r w:rsidR="0088620C">
        <w:rPr>
          <w:webHidden/>
        </w:rPr>
        <w:t>1</w:t>
      </w:r>
      <w:r w:rsidR="005849DC">
        <w:rPr>
          <w:webHidden/>
        </w:rPr>
        <w:t>5</w:t>
      </w:r>
    </w:p>
    <w:p w:rsidR="00760892" w:rsidRDefault="00760892" w:rsidP="00676D5F">
      <w:pPr>
        <w:pStyle w:val="TOC1"/>
      </w:pPr>
      <w:r>
        <w:t>Chapter III</w:t>
      </w:r>
      <w:r w:rsidR="0088620C">
        <w:t>:</w:t>
      </w:r>
      <w:r w:rsidR="00B23698">
        <w:t xml:space="preserve"> </w:t>
      </w:r>
      <w:r w:rsidR="00AB68A4">
        <w:t xml:space="preserve">Misc. </w:t>
      </w:r>
      <w:r>
        <w:t>………………………………………………………</w:t>
      </w:r>
      <w:r w:rsidR="0088620C">
        <w:t>…</w:t>
      </w:r>
      <w:r w:rsidR="00AB68A4">
        <w:t>…………..1</w:t>
      </w:r>
      <w:r w:rsidR="005849DC">
        <w:t>6</w:t>
      </w:r>
    </w:p>
    <w:p w:rsidR="00760892" w:rsidRDefault="00760892" w:rsidP="00676D5F">
      <w:pPr>
        <w:pStyle w:val="TOC1"/>
        <w:rPr>
          <w:webHidden/>
        </w:rPr>
      </w:pPr>
      <w:r>
        <w:rPr>
          <w:rFonts w:asciiTheme="minorHAnsi" w:eastAsiaTheme="minorHAnsi" w:hAnsiTheme="minorHAnsi" w:cstheme="minorBidi"/>
          <w:noProof w:val="0"/>
          <w:color w:val="auto"/>
          <w:sz w:val="22"/>
          <w:szCs w:val="22"/>
        </w:rPr>
        <w:t xml:space="preserve">     </w:t>
      </w:r>
      <w:r>
        <w:t>Notes</w:t>
      </w:r>
      <w:r w:rsidRPr="00E20B21">
        <w:rPr>
          <w:webHidden/>
        </w:rPr>
        <w:tab/>
      </w:r>
      <w:r w:rsidR="0088620C">
        <w:rPr>
          <w:webHidden/>
        </w:rPr>
        <w:t>1</w:t>
      </w:r>
      <w:r w:rsidR="005849DC">
        <w:rPr>
          <w:webHidden/>
        </w:rPr>
        <w:t>6-17</w:t>
      </w:r>
    </w:p>
    <w:p w:rsidR="00760892" w:rsidRDefault="00760892" w:rsidP="00676D5F">
      <w:pPr>
        <w:pStyle w:val="TOC1"/>
        <w:rPr>
          <w:webHidden/>
        </w:rPr>
      </w:pPr>
      <w:r>
        <w:rPr>
          <w:rFonts w:asciiTheme="minorHAnsi" w:eastAsiaTheme="minorHAnsi" w:hAnsiTheme="minorHAnsi" w:cstheme="minorBidi"/>
          <w:noProof w:val="0"/>
          <w:color w:val="auto"/>
          <w:sz w:val="22"/>
          <w:szCs w:val="22"/>
        </w:rPr>
        <w:t xml:space="preserve">     </w:t>
      </w:r>
      <w:r>
        <w:t>Evaluation</w:t>
      </w:r>
      <w:r w:rsidRPr="00E20B21">
        <w:rPr>
          <w:webHidden/>
        </w:rPr>
        <w:tab/>
      </w:r>
      <w:r w:rsidR="00B120E1">
        <w:rPr>
          <w:webHidden/>
        </w:rPr>
        <w:t>1</w:t>
      </w:r>
      <w:r w:rsidR="005849DC">
        <w:rPr>
          <w:webHidden/>
        </w:rPr>
        <w:t>8</w:t>
      </w:r>
      <w:r w:rsidR="00B120E1">
        <w:rPr>
          <w:webHidden/>
        </w:rPr>
        <w:t>-1</w:t>
      </w:r>
      <w:r w:rsidR="00B23698">
        <w:rPr>
          <w:webHidden/>
        </w:rPr>
        <w:t>9</w:t>
      </w:r>
    </w:p>
    <w:p w:rsidR="00760892" w:rsidRPr="00760892" w:rsidRDefault="00760892" w:rsidP="00760892"/>
    <w:p w:rsidR="00D47C75" w:rsidRPr="00CF3F73" w:rsidRDefault="00D47C75" w:rsidP="00AC5020">
      <w:pPr>
        <w:spacing w:after="0" w:line="240" w:lineRule="auto"/>
        <w:rPr>
          <w:rFonts w:eastAsia="Times New Roman" w:cs="Times New Roman"/>
          <w:sz w:val="24"/>
          <w:szCs w:val="24"/>
        </w:rPr>
        <w:sectPr w:rsidR="00D47C75" w:rsidRPr="00CF3F73">
          <w:pgSz w:w="12240" w:h="15840"/>
          <w:pgMar w:top="1440" w:right="1440" w:bottom="1440" w:left="1440" w:header="720" w:footer="720" w:gutter="0"/>
          <w:cols w:space="720"/>
          <w:docGrid w:linePitch="360"/>
        </w:sectPr>
      </w:pPr>
    </w:p>
    <w:p w:rsidR="00280C44" w:rsidRPr="007A0A19" w:rsidRDefault="001B6538" w:rsidP="009D08C5">
      <w:pPr>
        <w:pStyle w:val="Title"/>
        <w:rPr>
          <w:sz w:val="44"/>
          <w:szCs w:val="44"/>
        </w:rPr>
      </w:pPr>
      <w:r>
        <w:rPr>
          <w:sz w:val="44"/>
          <w:szCs w:val="44"/>
        </w:rPr>
        <w:t>Workshop</w:t>
      </w:r>
      <w:r w:rsidR="00280C44" w:rsidRPr="007A0A19">
        <w:rPr>
          <w:sz w:val="44"/>
          <w:szCs w:val="44"/>
        </w:rPr>
        <w:t xml:space="preserve"> Overview</w:t>
      </w:r>
    </w:p>
    <w:tbl>
      <w:tblPr>
        <w:tblW w:w="0" w:type="auto"/>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ook w:val="04A0" w:firstRow="1" w:lastRow="0" w:firstColumn="1" w:lastColumn="0" w:noHBand="0" w:noVBand="1"/>
      </w:tblPr>
      <w:tblGrid>
        <w:gridCol w:w="1877"/>
        <w:gridCol w:w="7393"/>
      </w:tblGrid>
      <w:tr w:rsidR="00280C44" w:rsidRPr="00280C44" w:rsidTr="009D08C5">
        <w:trPr>
          <w:trHeight w:val="437"/>
        </w:trPr>
        <w:tc>
          <w:tcPr>
            <w:tcW w:w="1877"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Exercise Name</w:t>
            </w:r>
          </w:p>
        </w:tc>
        <w:tc>
          <w:tcPr>
            <w:tcW w:w="7393" w:type="dxa"/>
            <w:vAlign w:val="center"/>
          </w:tcPr>
          <w:p w:rsidR="00280C44" w:rsidRPr="009D08C5" w:rsidRDefault="009A0A93" w:rsidP="009D08C5">
            <w:pPr>
              <w:spacing w:before="120" w:after="120" w:line="240" w:lineRule="auto"/>
              <w:ind w:left="405"/>
              <w:rPr>
                <w:rFonts w:eastAsia="Times New Roman" w:cs="Arial"/>
              </w:rPr>
            </w:pPr>
            <w:r w:rsidRPr="009D08C5">
              <w:rPr>
                <w:rFonts w:eastAsia="Times New Roman" w:cs="Arial"/>
              </w:rPr>
              <w:t xml:space="preserve">Long-Term Prophylaxis </w:t>
            </w:r>
            <w:r w:rsidR="00C558BE" w:rsidRPr="009D08C5">
              <w:rPr>
                <w:rFonts w:eastAsia="Times New Roman" w:cs="Arial"/>
              </w:rPr>
              <w:t>Workshop</w:t>
            </w:r>
            <w:r w:rsidR="004D0201" w:rsidRPr="009D08C5">
              <w:rPr>
                <w:rFonts w:eastAsia="Times New Roman" w:cs="Arial"/>
              </w:rPr>
              <w:t xml:space="preserve"> </w:t>
            </w:r>
          </w:p>
        </w:tc>
      </w:tr>
      <w:tr w:rsidR="00280C44" w:rsidRPr="00280C44" w:rsidTr="009D08C5">
        <w:trPr>
          <w:trHeight w:val="432"/>
        </w:trPr>
        <w:tc>
          <w:tcPr>
            <w:tcW w:w="1877" w:type="dxa"/>
            <w:shd w:val="clear" w:color="auto" w:fill="244061" w:themeFill="accent1" w:themeFillShade="80"/>
            <w:vAlign w:val="center"/>
          </w:tcPr>
          <w:p w:rsidR="00280C44" w:rsidRPr="00D97DA8" w:rsidRDefault="00280C44" w:rsidP="00280C44">
            <w:pPr>
              <w:spacing w:before="120" w:after="120" w:line="240" w:lineRule="auto"/>
              <w:jc w:val="center"/>
              <w:rPr>
                <w:rFonts w:ascii="Arial" w:eastAsia="Times New Roman" w:hAnsi="Arial" w:cs="Arial"/>
                <w:b/>
                <w:color w:val="FFFFFF"/>
              </w:rPr>
            </w:pPr>
            <w:r w:rsidRPr="00D97DA8">
              <w:rPr>
                <w:rFonts w:ascii="Arial" w:eastAsia="Times New Roman" w:hAnsi="Arial" w:cs="Arial"/>
                <w:b/>
                <w:color w:val="FFFFFF"/>
              </w:rPr>
              <w:t>Exercise Date</w:t>
            </w:r>
          </w:p>
        </w:tc>
        <w:tc>
          <w:tcPr>
            <w:tcW w:w="7393" w:type="dxa"/>
            <w:vAlign w:val="center"/>
          </w:tcPr>
          <w:p w:rsidR="00033580" w:rsidRPr="009D08C5" w:rsidRDefault="00005DB6" w:rsidP="009D08C5">
            <w:pPr>
              <w:spacing w:before="120" w:after="120" w:line="240" w:lineRule="auto"/>
              <w:ind w:left="405"/>
              <w:rPr>
                <w:rFonts w:eastAsia="Times New Roman" w:cs="Arial"/>
              </w:rPr>
            </w:pPr>
            <w:r w:rsidRPr="009D08C5">
              <w:rPr>
                <w:rFonts w:eastAsia="Times New Roman" w:cs="Arial"/>
              </w:rPr>
              <w:t>J</w:t>
            </w:r>
            <w:r w:rsidR="009760D0" w:rsidRPr="009D08C5">
              <w:rPr>
                <w:rFonts w:eastAsia="Times New Roman" w:cs="Arial"/>
              </w:rPr>
              <w:t>une 6</w:t>
            </w:r>
            <w:r w:rsidRPr="009D08C5">
              <w:rPr>
                <w:rFonts w:eastAsia="Times New Roman" w:cs="Arial"/>
              </w:rPr>
              <w:t>, 201</w:t>
            </w:r>
            <w:r w:rsidR="009760D0" w:rsidRPr="009D08C5">
              <w:rPr>
                <w:rFonts w:eastAsia="Times New Roman" w:cs="Arial"/>
              </w:rPr>
              <w:t>8</w:t>
            </w:r>
            <w:r w:rsidR="00150E4A" w:rsidRPr="009D08C5">
              <w:rPr>
                <w:rFonts w:eastAsia="Times New Roman" w:cs="Arial"/>
              </w:rPr>
              <w:br/>
            </w:r>
            <w:r w:rsidR="00D47C75" w:rsidRPr="009D08C5">
              <w:rPr>
                <w:rFonts w:eastAsia="Times New Roman" w:cs="Arial"/>
              </w:rPr>
              <w:t>10:10</w:t>
            </w:r>
            <w:r w:rsidR="00290F14" w:rsidRPr="009D08C5">
              <w:rPr>
                <w:rFonts w:eastAsia="Times New Roman" w:cs="Arial"/>
              </w:rPr>
              <w:t xml:space="preserve"> AM – </w:t>
            </w:r>
            <w:r w:rsidR="00994016" w:rsidRPr="009D08C5">
              <w:rPr>
                <w:rFonts w:eastAsia="Times New Roman" w:cs="Arial"/>
              </w:rPr>
              <w:t>1</w:t>
            </w:r>
            <w:r w:rsidR="00D47C75" w:rsidRPr="009D08C5">
              <w:rPr>
                <w:rFonts w:eastAsia="Times New Roman" w:cs="Arial"/>
              </w:rPr>
              <w:t>2:00</w:t>
            </w:r>
            <w:r w:rsidR="00C558BE" w:rsidRPr="009D08C5">
              <w:rPr>
                <w:rFonts w:eastAsia="Times New Roman" w:cs="Arial"/>
              </w:rPr>
              <w:t xml:space="preserve"> </w:t>
            </w:r>
            <w:r w:rsidR="000D09F2" w:rsidRPr="009D08C5">
              <w:rPr>
                <w:rFonts w:eastAsia="Times New Roman" w:cs="Arial"/>
              </w:rPr>
              <w:t>PM</w:t>
            </w:r>
          </w:p>
        </w:tc>
      </w:tr>
      <w:tr w:rsidR="00BA148F" w:rsidRPr="00280C44" w:rsidTr="009D08C5">
        <w:trPr>
          <w:trHeight w:val="432"/>
        </w:trPr>
        <w:tc>
          <w:tcPr>
            <w:tcW w:w="1877" w:type="dxa"/>
            <w:shd w:val="clear" w:color="auto" w:fill="244061" w:themeFill="accent1" w:themeFillShade="80"/>
            <w:vAlign w:val="center"/>
          </w:tcPr>
          <w:p w:rsidR="00BA148F" w:rsidRPr="00701B86" w:rsidRDefault="00BA148F" w:rsidP="00280C44">
            <w:pPr>
              <w:spacing w:before="120" w:after="120" w:line="240" w:lineRule="auto"/>
              <w:jc w:val="center"/>
              <w:rPr>
                <w:rFonts w:ascii="Arial" w:eastAsia="Times New Roman" w:hAnsi="Arial" w:cs="Arial"/>
                <w:b/>
                <w:color w:val="FFFFFF"/>
              </w:rPr>
            </w:pPr>
            <w:r>
              <w:rPr>
                <w:rFonts w:ascii="Arial" w:eastAsia="Times New Roman" w:hAnsi="Arial" w:cs="Arial"/>
                <w:b/>
                <w:color w:val="FFFFFF"/>
              </w:rPr>
              <w:t>Location</w:t>
            </w:r>
          </w:p>
        </w:tc>
        <w:tc>
          <w:tcPr>
            <w:tcW w:w="7393" w:type="dxa"/>
            <w:vAlign w:val="center"/>
          </w:tcPr>
          <w:p w:rsidR="00150E4A" w:rsidRPr="009D08C5" w:rsidRDefault="009760D0" w:rsidP="009D08C5">
            <w:pPr>
              <w:spacing w:before="120" w:after="120" w:line="240" w:lineRule="auto"/>
              <w:ind w:left="405"/>
              <w:rPr>
                <w:rFonts w:eastAsia="Times New Roman" w:cs="Arial"/>
              </w:rPr>
            </w:pPr>
            <w:r w:rsidRPr="009D08C5">
              <w:rPr>
                <w:rFonts w:eastAsia="Times New Roman" w:cs="Arial"/>
              </w:rPr>
              <w:t>Treetops Resort</w:t>
            </w:r>
            <w:r w:rsidR="00150E4A" w:rsidRPr="009D08C5">
              <w:rPr>
                <w:rFonts w:eastAsia="Times New Roman" w:cs="Arial"/>
              </w:rPr>
              <w:br/>
            </w:r>
            <w:r w:rsidRPr="009D08C5">
              <w:rPr>
                <w:rFonts w:eastAsia="Times New Roman" w:cs="Arial"/>
              </w:rPr>
              <w:t>Gaylord</w:t>
            </w:r>
            <w:r w:rsidR="007905E2" w:rsidRPr="009D08C5">
              <w:rPr>
                <w:rFonts w:eastAsia="Times New Roman" w:cs="Arial"/>
              </w:rPr>
              <w:t>,</w:t>
            </w:r>
            <w:r w:rsidRPr="009D08C5">
              <w:rPr>
                <w:rFonts w:eastAsia="Times New Roman" w:cs="Arial"/>
              </w:rPr>
              <w:t xml:space="preserve"> MI</w:t>
            </w:r>
          </w:p>
        </w:tc>
      </w:tr>
      <w:tr w:rsidR="00280C44" w:rsidRPr="00280C44" w:rsidTr="009D08C5">
        <w:trPr>
          <w:trHeight w:val="20"/>
        </w:trPr>
        <w:tc>
          <w:tcPr>
            <w:tcW w:w="1877"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Scope</w:t>
            </w:r>
          </w:p>
        </w:tc>
        <w:tc>
          <w:tcPr>
            <w:tcW w:w="7393" w:type="dxa"/>
            <w:vAlign w:val="center"/>
          </w:tcPr>
          <w:p w:rsidR="00EB1C8A" w:rsidRPr="009D08C5" w:rsidRDefault="00B84A5C" w:rsidP="009D08C5">
            <w:pPr>
              <w:spacing w:after="160" w:line="240" w:lineRule="auto"/>
              <w:ind w:left="405"/>
              <w:rPr>
                <w:rFonts w:eastAsia="Times New Roman" w:cs="Arial"/>
              </w:rPr>
            </w:pPr>
            <w:r w:rsidRPr="009D08C5">
              <w:rPr>
                <w:rFonts w:eastAsia="Times New Roman" w:cs="Arial"/>
              </w:rPr>
              <w:t xml:space="preserve">This </w:t>
            </w:r>
            <w:r w:rsidR="00337994" w:rsidRPr="009D08C5">
              <w:rPr>
                <w:rFonts w:eastAsia="Times New Roman" w:cs="Arial"/>
              </w:rPr>
              <w:t>two-hour</w:t>
            </w:r>
            <w:r w:rsidR="001B6538" w:rsidRPr="009D08C5">
              <w:rPr>
                <w:rFonts w:eastAsia="Times New Roman" w:cs="Arial"/>
              </w:rPr>
              <w:t xml:space="preserve"> workshop</w:t>
            </w:r>
            <w:r w:rsidRPr="009D08C5">
              <w:rPr>
                <w:rFonts w:eastAsia="Times New Roman" w:cs="Arial"/>
              </w:rPr>
              <w:t xml:space="preserve"> is intended for</w:t>
            </w:r>
            <w:r w:rsidR="00B14942" w:rsidRPr="009D08C5">
              <w:rPr>
                <w:rFonts w:eastAsia="Times New Roman" w:cs="Arial"/>
              </w:rPr>
              <w:t xml:space="preserve"> </w:t>
            </w:r>
            <w:r w:rsidR="00337994" w:rsidRPr="009D08C5">
              <w:rPr>
                <w:rFonts w:eastAsia="Times New Roman" w:cs="Arial"/>
              </w:rPr>
              <w:t>local EPC’s</w:t>
            </w:r>
            <w:r w:rsidR="007905E2" w:rsidRPr="009D08C5">
              <w:rPr>
                <w:rFonts w:eastAsia="Times New Roman" w:cs="Arial"/>
              </w:rPr>
              <w:t>, tribal partners, and DEPR personnel.</w:t>
            </w:r>
            <w:r w:rsidR="00337994" w:rsidRPr="009D08C5">
              <w:rPr>
                <w:rFonts w:eastAsia="Times New Roman" w:cs="Arial"/>
              </w:rPr>
              <w:t xml:space="preserve"> </w:t>
            </w:r>
          </w:p>
        </w:tc>
      </w:tr>
      <w:tr w:rsidR="00EB1C8A" w:rsidRPr="00280C44" w:rsidTr="009D08C5">
        <w:trPr>
          <w:trHeight w:val="432"/>
        </w:trPr>
        <w:tc>
          <w:tcPr>
            <w:tcW w:w="1877" w:type="dxa"/>
            <w:shd w:val="clear" w:color="auto" w:fill="244061" w:themeFill="accent1" w:themeFillShade="80"/>
            <w:vAlign w:val="center"/>
          </w:tcPr>
          <w:p w:rsidR="00392FDE" w:rsidRPr="00B82E5C" w:rsidRDefault="00F403DB" w:rsidP="00392FDE">
            <w:pPr>
              <w:spacing w:before="120" w:after="120" w:line="240" w:lineRule="auto"/>
              <w:jc w:val="center"/>
              <w:rPr>
                <w:rFonts w:ascii="Arial" w:eastAsia="Times New Roman" w:hAnsi="Arial" w:cs="Arial"/>
                <w:b/>
                <w:color w:val="FFFFFF"/>
              </w:rPr>
            </w:pPr>
            <w:bookmarkStart w:id="3" w:name="_Hlk514221131"/>
            <w:r w:rsidRPr="00B82E5C">
              <w:rPr>
                <w:rFonts w:ascii="Arial" w:eastAsia="Times New Roman" w:hAnsi="Arial" w:cs="Arial"/>
                <w:b/>
                <w:color w:val="FFFFFF"/>
              </w:rPr>
              <w:t>Core Capabilities</w:t>
            </w:r>
          </w:p>
        </w:tc>
        <w:tc>
          <w:tcPr>
            <w:tcW w:w="7393" w:type="dxa"/>
            <w:vAlign w:val="center"/>
          </w:tcPr>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Capability 1: Community Preparedness</w:t>
            </w:r>
          </w:p>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Capability 3: Emergency Operations Coordination</w:t>
            </w:r>
          </w:p>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Capability 4: Emergency Public Information and Warning</w:t>
            </w:r>
          </w:p>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Capability 6: Information Sharing</w:t>
            </w:r>
          </w:p>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 xml:space="preserve">Capability 8: Medical Countermeasure Dispensing </w:t>
            </w:r>
          </w:p>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 xml:space="preserve">Capability 9: Medical Materiel Management and Distribution </w:t>
            </w:r>
          </w:p>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 xml:space="preserve">Capability 13: Public Health Surveillance and Epidemiological </w:t>
            </w:r>
          </w:p>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Investigation</w:t>
            </w:r>
          </w:p>
          <w:p w:rsidR="00CC54C3" w:rsidRPr="009D08C5" w:rsidRDefault="00CC54C3" w:rsidP="009D08C5">
            <w:pPr>
              <w:pStyle w:val="ListParagraph"/>
              <w:spacing w:after="160" w:line="240" w:lineRule="auto"/>
              <w:ind w:left="405"/>
              <w:rPr>
                <w:rFonts w:eastAsia="Times New Roman" w:cs="Arial"/>
              </w:rPr>
            </w:pPr>
            <w:r w:rsidRPr="009D08C5">
              <w:rPr>
                <w:rFonts w:eastAsia="Times New Roman" w:cs="Arial"/>
              </w:rPr>
              <w:t>Capability 14: Responder Safety and Health</w:t>
            </w:r>
          </w:p>
          <w:p w:rsidR="00CC54C3" w:rsidRPr="00676D5F" w:rsidRDefault="00CC54C3" w:rsidP="009D08C5">
            <w:pPr>
              <w:pStyle w:val="ListParagraph"/>
              <w:spacing w:after="160" w:line="240" w:lineRule="auto"/>
              <w:ind w:left="405"/>
            </w:pPr>
            <w:r w:rsidRPr="009D08C5">
              <w:rPr>
                <w:rFonts w:eastAsia="Times New Roman" w:cs="Arial"/>
              </w:rPr>
              <w:t>Capability 15: Volunteer Management</w:t>
            </w:r>
          </w:p>
        </w:tc>
      </w:tr>
      <w:bookmarkEnd w:id="3"/>
      <w:tr w:rsidR="00392FDE" w:rsidRPr="00280C44" w:rsidTr="009D08C5">
        <w:trPr>
          <w:trHeight w:val="432"/>
        </w:trPr>
        <w:tc>
          <w:tcPr>
            <w:tcW w:w="1877" w:type="dxa"/>
            <w:shd w:val="clear" w:color="auto" w:fill="244061" w:themeFill="accent1" w:themeFillShade="80"/>
            <w:vAlign w:val="center"/>
          </w:tcPr>
          <w:p w:rsidR="00392FDE" w:rsidRDefault="007208EF" w:rsidP="00392FDE">
            <w:pPr>
              <w:spacing w:before="120" w:after="120" w:line="240" w:lineRule="auto"/>
              <w:jc w:val="center"/>
              <w:rPr>
                <w:rFonts w:ascii="Arial" w:eastAsia="Times New Roman" w:hAnsi="Arial" w:cs="Arial"/>
                <w:b/>
                <w:color w:val="FFFFFF"/>
              </w:rPr>
            </w:pPr>
            <w:r>
              <w:rPr>
                <w:rFonts w:ascii="Arial" w:eastAsia="Times New Roman" w:hAnsi="Arial" w:cs="Arial"/>
                <w:b/>
                <w:color w:val="FFFFFF"/>
              </w:rPr>
              <w:t>Exercise</w:t>
            </w:r>
            <w:r w:rsidR="00F01097">
              <w:rPr>
                <w:rFonts w:ascii="Arial" w:eastAsia="Times New Roman" w:hAnsi="Arial" w:cs="Arial"/>
                <w:b/>
                <w:color w:val="FFFFFF"/>
              </w:rPr>
              <w:t xml:space="preserve"> </w:t>
            </w:r>
            <w:r w:rsidR="00392FDE">
              <w:rPr>
                <w:rFonts w:ascii="Arial" w:eastAsia="Times New Roman" w:hAnsi="Arial" w:cs="Arial"/>
                <w:b/>
                <w:color w:val="FFFFFF"/>
              </w:rPr>
              <w:t xml:space="preserve">Objectives </w:t>
            </w:r>
          </w:p>
        </w:tc>
        <w:tc>
          <w:tcPr>
            <w:tcW w:w="7393" w:type="dxa"/>
            <w:vAlign w:val="center"/>
          </w:tcPr>
          <w:p w:rsidR="000E3E98" w:rsidRPr="009D08C5" w:rsidRDefault="000E3E98" w:rsidP="00AF4295">
            <w:pPr>
              <w:pStyle w:val="ListParagraph"/>
              <w:numPr>
                <w:ilvl w:val="0"/>
                <w:numId w:val="4"/>
              </w:numPr>
              <w:spacing w:after="160" w:line="240" w:lineRule="auto"/>
              <w:rPr>
                <w:rFonts w:eastAsia="Times New Roman" w:cs="Arial"/>
              </w:rPr>
            </w:pPr>
            <w:r w:rsidRPr="009D08C5">
              <w:t xml:space="preserve">Assess the impact </w:t>
            </w:r>
            <w:r w:rsidR="009A0A93" w:rsidRPr="009D08C5">
              <w:t xml:space="preserve">that </w:t>
            </w:r>
            <w:r w:rsidRPr="009D08C5">
              <w:t>a prolonged incident</w:t>
            </w:r>
            <w:r w:rsidR="009A0A93" w:rsidRPr="009D08C5">
              <w:t xml:space="preserve"> may place on</w:t>
            </w:r>
            <w:r w:rsidRPr="009D08C5">
              <w:t xml:space="preserve"> existing plan</w:t>
            </w:r>
            <w:r w:rsidR="007905E2" w:rsidRPr="009D08C5">
              <w:t>s and procedures</w:t>
            </w:r>
            <w:r w:rsidRPr="009D08C5">
              <w:t xml:space="preserve">. </w:t>
            </w:r>
          </w:p>
          <w:p w:rsidR="00392FDE" w:rsidRPr="009D08C5" w:rsidRDefault="006C7DAE" w:rsidP="00AF4295">
            <w:pPr>
              <w:pStyle w:val="ListParagraph"/>
              <w:numPr>
                <w:ilvl w:val="0"/>
                <w:numId w:val="4"/>
              </w:numPr>
              <w:spacing w:after="160" w:line="240" w:lineRule="auto"/>
              <w:rPr>
                <w:rFonts w:eastAsia="Times New Roman" w:cs="Arial"/>
              </w:rPr>
            </w:pPr>
            <w:r w:rsidRPr="009D08C5">
              <w:t xml:space="preserve">Determine long-term public health service delivery </w:t>
            </w:r>
            <w:r w:rsidR="00937C93" w:rsidRPr="009D08C5">
              <w:t>sustainment</w:t>
            </w:r>
            <w:r w:rsidRPr="009D08C5">
              <w:t xml:space="preserve"> </w:t>
            </w:r>
            <w:r w:rsidR="007905E2" w:rsidRPr="009D08C5">
              <w:t xml:space="preserve">during </w:t>
            </w:r>
            <w:r w:rsidRPr="009D08C5">
              <w:t xml:space="preserve">a mass dispensing </w:t>
            </w:r>
            <w:r w:rsidR="00B46848" w:rsidRPr="009D08C5">
              <w:t>campaign</w:t>
            </w:r>
            <w:r w:rsidRPr="009D08C5">
              <w:t>.</w:t>
            </w:r>
          </w:p>
          <w:p w:rsidR="006C7DAE" w:rsidRPr="009D08C5" w:rsidRDefault="00652349" w:rsidP="00AF4295">
            <w:pPr>
              <w:pStyle w:val="ListParagraph"/>
              <w:numPr>
                <w:ilvl w:val="0"/>
                <w:numId w:val="4"/>
              </w:numPr>
              <w:spacing w:after="160" w:line="240" w:lineRule="auto"/>
              <w:rPr>
                <w:rFonts w:eastAsia="Times New Roman" w:cs="Arial"/>
              </w:rPr>
            </w:pPr>
            <w:r w:rsidRPr="009D08C5">
              <w:rPr>
                <w:rFonts w:eastAsia="Times New Roman" w:cs="Arial"/>
              </w:rPr>
              <w:t xml:space="preserve">Determine the process for </w:t>
            </w:r>
            <w:r w:rsidR="009A0A93" w:rsidRPr="009D08C5">
              <w:rPr>
                <w:rFonts w:eastAsia="Times New Roman" w:cs="Arial"/>
              </w:rPr>
              <w:t>implementing emergency risk communications.</w:t>
            </w:r>
          </w:p>
          <w:p w:rsidR="006C7DAE" w:rsidRPr="009D08C5" w:rsidRDefault="007905E2" w:rsidP="00AF4295">
            <w:pPr>
              <w:pStyle w:val="ListParagraph"/>
              <w:numPr>
                <w:ilvl w:val="0"/>
                <w:numId w:val="4"/>
              </w:numPr>
              <w:spacing w:after="160" w:line="240" w:lineRule="auto"/>
              <w:rPr>
                <w:rFonts w:eastAsia="Times New Roman" w:cs="Arial"/>
              </w:rPr>
            </w:pPr>
            <w:r w:rsidRPr="009D08C5">
              <w:rPr>
                <w:rFonts w:eastAsia="Times New Roman" w:cs="Arial"/>
              </w:rPr>
              <w:t xml:space="preserve">Evaluate existing plans and </w:t>
            </w:r>
            <w:r w:rsidR="00652349" w:rsidRPr="009D08C5">
              <w:rPr>
                <w:rFonts w:eastAsia="Times New Roman" w:cs="Arial"/>
              </w:rPr>
              <w:t>p</w:t>
            </w:r>
            <w:r w:rsidR="006C7DAE" w:rsidRPr="009D08C5">
              <w:rPr>
                <w:rFonts w:eastAsia="Times New Roman" w:cs="Arial"/>
              </w:rPr>
              <w:t>rocedure</w:t>
            </w:r>
            <w:r w:rsidR="00652349" w:rsidRPr="009D08C5">
              <w:rPr>
                <w:rFonts w:eastAsia="Times New Roman" w:cs="Arial"/>
              </w:rPr>
              <w:t>s</w:t>
            </w:r>
            <w:r w:rsidR="006C7DAE" w:rsidRPr="009D08C5">
              <w:rPr>
                <w:rFonts w:eastAsia="Times New Roman" w:cs="Arial"/>
              </w:rPr>
              <w:t xml:space="preserve"> in place for medical countermeasure</w:t>
            </w:r>
            <w:r w:rsidR="00652349" w:rsidRPr="009D08C5">
              <w:rPr>
                <w:rFonts w:eastAsia="Times New Roman" w:cs="Arial"/>
              </w:rPr>
              <w:t xml:space="preserve"> </w:t>
            </w:r>
            <w:r w:rsidRPr="009D08C5">
              <w:rPr>
                <w:rFonts w:eastAsia="Times New Roman" w:cs="Arial"/>
              </w:rPr>
              <w:t xml:space="preserve">long-term </w:t>
            </w:r>
            <w:r w:rsidR="00652349" w:rsidRPr="009D08C5">
              <w:rPr>
                <w:rFonts w:eastAsia="Times New Roman" w:cs="Arial"/>
              </w:rPr>
              <w:t>distribution and storage</w:t>
            </w:r>
            <w:r w:rsidR="006C7DAE" w:rsidRPr="009D08C5">
              <w:rPr>
                <w:rFonts w:eastAsia="Times New Roman" w:cs="Arial"/>
              </w:rPr>
              <w:t>.</w:t>
            </w:r>
            <w:r w:rsidR="00652349" w:rsidRPr="009D08C5">
              <w:rPr>
                <w:rFonts w:eastAsia="Times New Roman" w:cs="Arial"/>
              </w:rPr>
              <w:t xml:space="preserve"> </w:t>
            </w:r>
          </w:p>
          <w:p w:rsidR="00652349" w:rsidRPr="009D08C5" w:rsidRDefault="00652349" w:rsidP="00AF4295">
            <w:pPr>
              <w:pStyle w:val="ListParagraph"/>
              <w:numPr>
                <w:ilvl w:val="0"/>
                <w:numId w:val="4"/>
              </w:numPr>
              <w:spacing w:after="160" w:line="240" w:lineRule="auto"/>
              <w:rPr>
                <w:rFonts w:eastAsia="Times New Roman" w:cs="Arial"/>
              </w:rPr>
            </w:pPr>
            <w:r w:rsidRPr="009D08C5">
              <w:rPr>
                <w:rFonts w:eastAsia="Times New Roman" w:cs="Arial"/>
              </w:rPr>
              <w:t xml:space="preserve">Determine the ability to create, maintain, support and strengthen </w:t>
            </w:r>
            <w:r w:rsidR="009A0A93" w:rsidRPr="009D08C5">
              <w:rPr>
                <w:rFonts w:eastAsia="Times New Roman" w:cs="Arial"/>
              </w:rPr>
              <w:t>a routine process to share information with response partners.</w:t>
            </w:r>
          </w:p>
          <w:p w:rsidR="009A0A93" w:rsidRPr="009D08C5" w:rsidRDefault="009A0A93" w:rsidP="00676D5F">
            <w:pPr>
              <w:pStyle w:val="ListParagraph"/>
              <w:numPr>
                <w:ilvl w:val="0"/>
                <w:numId w:val="4"/>
              </w:numPr>
              <w:spacing w:after="160" w:line="240" w:lineRule="auto"/>
              <w:rPr>
                <w:rFonts w:eastAsia="Times New Roman" w:cs="Arial"/>
              </w:rPr>
            </w:pPr>
            <w:r w:rsidRPr="009D08C5">
              <w:rPr>
                <w:rFonts w:eastAsia="Times New Roman" w:cs="Arial"/>
              </w:rPr>
              <w:t>Discuss staffing requirements to support jurisdictional needs during a</w:t>
            </w:r>
            <w:r w:rsidR="007905E2" w:rsidRPr="009D08C5">
              <w:rPr>
                <w:rFonts w:eastAsia="Times New Roman" w:cs="Arial"/>
              </w:rPr>
              <w:t xml:space="preserve"> long-term</w:t>
            </w:r>
            <w:r w:rsidRPr="009D08C5">
              <w:rPr>
                <w:rFonts w:eastAsia="Times New Roman" w:cs="Arial"/>
              </w:rPr>
              <w:t xml:space="preserve"> medical countermeasure campaign.</w:t>
            </w:r>
          </w:p>
        </w:tc>
      </w:tr>
      <w:tr w:rsidR="00280C44" w:rsidRPr="00280C44" w:rsidTr="009D08C5">
        <w:trPr>
          <w:trHeight w:val="792"/>
        </w:trPr>
        <w:tc>
          <w:tcPr>
            <w:tcW w:w="1877"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Threat or Hazard</w:t>
            </w:r>
          </w:p>
        </w:tc>
        <w:tc>
          <w:tcPr>
            <w:tcW w:w="7393" w:type="dxa"/>
            <w:vAlign w:val="center"/>
          </w:tcPr>
          <w:p w:rsidR="00280C44" w:rsidRPr="009D08C5" w:rsidRDefault="00EE21C8" w:rsidP="009D08C5">
            <w:pPr>
              <w:spacing w:before="120" w:after="120" w:line="240" w:lineRule="auto"/>
              <w:ind w:left="405"/>
              <w:rPr>
                <w:rFonts w:eastAsia="Times New Roman" w:cs="Arial"/>
                <w:i/>
                <w:highlight w:val="lightGray"/>
              </w:rPr>
            </w:pPr>
            <w:r w:rsidRPr="00676D5F">
              <w:rPr>
                <w:i/>
              </w:rPr>
              <w:t xml:space="preserve">Bacillus </w:t>
            </w:r>
            <w:r w:rsidR="00937C93" w:rsidRPr="00676D5F">
              <w:rPr>
                <w:i/>
              </w:rPr>
              <w:t>a</w:t>
            </w:r>
            <w:r w:rsidRPr="00676D5F">
              <w:rPr>
                <w:i/>
              </w:rPr>
              <w:t>nthracis</w:t>
            </w:r>
            <w:r w:rsidRPr="009D08C5">
              <w:rPr>
                <w:rFonts w:eastAsia="Times New Roman" w:cs="Arial"/>
                <w:i/>
                <w:highlight w:val="lightGray"/>
              </w:rPr>
              <w:t xml:space="preserve">  </w:t>
            </w:r>
          </w:p>
        </w:tc>
      </w:tr>
      <w:tr w:rsidR="00280C44" w:rsidRPr="00280C44" w:rsidTr="009D08C5">
        <w:trPr>
          <w:trHeight w:val="432"/>
        </w:trPr>
        <w:tc>
          <w:tcPr>
            <w:tcW w:w="1877" w:type="dxa"/>
            <w:shd w:val="clear" w:color="auto" w:fill="244061" w:themeFill="accent1" w:themeFillShade="80"/>
            <w:vAlign w:val="center"/>
          </w:tcPr>
          <w:p w:rsidR="00280C44" w:rsidRPr="004D7DF9" w:rsidRDefault="00280C44" w:rsidP="00280C44">
            <w:pPr>
              <w:spacing w:before="120" w:after="120" w:line="240" w:lineRule="auto"/>
              <w:jc w:val="center"/>
              <w:rPr>
                <w:rFonts w:ascii="Arial" w:eastAsia="Times New Roman" w:hAnsi="Arial" w:cs="Arial"/>
                <w:b/>
                <w:color w:val="FFFFFF"/>
              </w:rPr>
            </w:pPr>
            <w:r w:rsidRPr="004D7DF9">
              <w:rPr>
                <w:rFonts w:ascii="Arial" w:eastAsia="Times New Roman" w:hAnsi="Arial" w:cs="Arial"/>
                <w:b/>
                <w:color w:val="FFFFFF"/>
              </w:rPr>
              <w:t>Scenario</w:t>
            </w:r>
          </w:p>
        </w:tc>
        <w:tc>
          <w:tcPr>
            <w:tcW w:w="7393" w:type="dxa"/>
            <w:vAlign w:val="center"/>
          </w:tcPr>
          <w:p w:rsidR="00280C44" w:rsidRPr="009D08C5" w:rsidRDefault="00EB1C8A" w:rsidP="009D08C5">
            <w:pPr>
              <w:spacing w:before="120" w:after="120" w:line="240" w:lineRule="auto"/>
              <w:ind w:left="405"/>
              <w:rPr>
                <w:rFonts w:eastAsia="Times New Roman" w:cs="Arial"/>
              </w:rPr>
            </w:pPr>
            <w:r w:rsidRPr="009D08C5">
              <w:rPr>
                <w:rFonts w:eastAsia="Times New Roman" w:cs="Arial"/>
              </w:rPr>
              <w:t>In</w:t>
            </w:r>
            <w:r w:rsidR="004D0201" w:rsidRPr="009D08C5">
              <w:rPr>
                <w:rFonts w:eastAsia="Times New Roman" w:cs="Arial"/>
              </w:rPr>
              <w:t>tentional release of inhalation anthrax.</w:t>
            </w:r>
          </w:p>
        </w:tc>
      </w:tr>
      <w:tr w:rsidR="00280C44" w:rsidRPr="00280C44" w:rsidTr="009D08C5">
        <w:trPr>
          <w:trHeight w:val="432"/>
        </w:trPr>
        <w:tc>
          <w:tcPr>
            <w:tcW w:w="1877" w:type="dxa"/>
            <w:shd w:val="clear" w:color="auto" w:fill="244061" w:themeFill="accent1" w:themeFillShade="80"/>
            <w:vAlign w:val="center"/>
          </w:tcPr>
          <w:p w:rsidR="00280C44" w:rsidRPr="00701B86" w:rsidRDefault="00280C44" w:rsidP="00280C44">
            <w:pPr>
              <w:spacing w:before="120" w:after="120" w:line="240" w:lineRule="auto"/>
              <w:jc w:val="center"/>
              <w:rPr>
                <w:rFonts w:ascii="Arial" w:eastAsia="Times New Roman" w:hAnsi="Arial" w:cs="Arial"/>
                <w:b/>
                <w:color w:val="FFFFFF"/>
              </w:rPr>
            </w:pPr>
            <w:r w:rsidRPr="00701B86">
              <w:rPr>
                <w:rFonts w:ascii="Arial" w:eastAsia="Times New Roman" w:hAnsi="Arial" w:cs="Arial"/>
                <w:b/>
                <w:color w:val="FFFFFF"/>
              </w:rPr>
              <w:t>Sponsor</w:t>
            </w:r>
            <w:r w:rsidR="00A964E3" w:rsidRPr="00701B86">
              <w:rPr>
                <w:rFonts w:ascii="Arial" w:eastAsia="Times New Roman" w:hAnsi="Arial" w:cs="Arial"/>
                <w:b/>
                <w:color w:val="FFFFFF"/>
              </w:rPr>
              <w:t>s</w:t>
            </w:r>
          </w:p>
        </w:tc>
        <w:tc>
          <w:tcPr>
            <w:tcW w:w="7393" w:type="dxa"/>
            <w:vAlign w:val="center"/>
          </w:tcPr>
          <w:p w:rsidR="00A964E3" w:rsidRDefault="00E23690" w:rsidP="009D08C5">
            <w:pPr>
              <w:spacing w:after="0" w:line="240" w:lineRule="auto"/>
              <w:ind w:left="405"/>
              <w:rPr>
                <w:rFonts w:eastAsia="Times New Roman" w:cs="Times New Roman"/>
              </w:rPr>
            </w:pPr>
            <w:r w:rsidRPr="009D08C5">
              <w:rPr>
                <w:rFonts w:eastAsia="Times New Roman" w:cs="Times New Roman"/>
              </w:rPr>
              <w:t>Bureau of EMS, Trauma, and Preparednes</w:t>
            </w:r>
            <w:r w:rsidR="00EE21C8" w:rsidRPr="009D08C5">
              <w:rPr>
                <w:rFonts w:eastAsia="Times New Roman" w:cs="Times New Roman"/>
              </w:rPr>
              <w:t xml:space="preserve">s and the </w:t>
            </w:r>
            <w:r w:rsidR="004D0201" w:rsidRPr="009D08C5">
              <w:rPr>
                <w:rFonts w:eastAsia="Times New Roman" w:cs="Times New Roman"/>
              </w:rPr>
              <w:t>Detroit CRI Jurisdictions</w:t>
            </w:r>
          </w:p>
          <w:p w:rsidR="00F6599A" w:rsidRPr="009D08C5" w:rsidRDefault="00F6599A" w:rsidP="009D08C5">
            <w:pPr>
              <w:spacing w:after="0" w:line="240" w:lineRule="auto"/>
              <w:ind w:left="405"/>
              <w:rPr>
                <w:rFonts w:eastAsia="Times New Roman" w:cs="Times New Roman"/>
              </w:rPr>
            </w:pPr>
          </w:p>
        </w:tc>
      </w:tr>
    </w:tbl>
    <w:p w:rsidR="00E51C76" w:rsidRPr="00BD2364" w:rsidRDefault="00E51C76" w:rsidP="00E51C76">
      <w:pPr>
        <w:pStyle w:val="Title"/>
        <w:rPr>
          <w:sz w:val="44"/>
          <w:szCs w:val="44"/>
        </w:rPr>
      </w:pPr>
      <w:r>
        <w:rPr>
          <w:sz w:val="44"/>
          <w:szCs w:val="44"/>
        </w:rPr>
        <w:t>Background</w:t>
      </w:r>
    </w:p>
    <w:p w:rsidR="00E51C76" w:rsidRPr="009D08C5" w:rsidRDefault="00E51C76" w:rsidP="00E51C76">
      <w:pPr>
        <w:spacing w:after="120"/>
        <w:rPr>
          <w:szCs w:val="24"/>
        </w:rPr>
      </w:pPr>
      <w:r w:rsidRPr="009D08C5">
        <w:rPr>
          <w:szCs w:val="24"/>
        </w:rPr>
        <w:t xml:space="preserve">Anthrax is a highly lethal infection caused by the Gram-positive bacterium, </w:t>
      </w:r>
      <w:r w:rsidRPr="009D08C5">
        <w:rPr>
          <w:i/>
          <w:szCs w:val="24"/>
        </w:rPr>
        <w:t>Bacillus anthracis</w:t>
      </w:r>
      <w:r w:rsidRPr="009D08C5">
        <w:rPr>
          <w:szCs w:val="24"/>
        </w:rPr>
        <w:t xml:space="preserve">.  In naturally acquired cases, organisms usually gain entrance through skin wounds (causing a localized infection) but may be inhaled or ingested.  Intentional release by terrorist groups would presumably involve the aerosol route, because the spore form of the bacillus is quite stable and possesses characteristics ideal for the generation of aerosols. For purposes of this workshop we will focus on inhaled or ingested organisms.                                                                                </w:t>
      </w:r>
    </w:p>
    <w:p w:rsidR="00E51C76" w:rsidRPr="009D08C5" w:rsidRDefault="00E51C76" w:rsidP="00E51C76">
      <w:pPr>
        <w:spacing w:after="120"/>
        <w:rPr>
          <w:szCs w:val="24"/>
        </w:rPr>
      </w:pPr>
      <w:r w:rsidRPr="009D08C5">
        <w:rPr>
          <w:szCs w:val="24"/>
        </w:rPr>
        <w:t xml:space="preserve">The incubation period for inhalational anthrax is 1 to 6 days.  Fever, malaise, fatigue, coughing, and mild chest discomfort are rapidly followed by severe respiratory distress with dyspnea, diaphoresis, stridor, and cyanosis.  Shock and death occur within 24 to 36 hours of the onset of severe symptoms.  Without treatment, the disease may progress to septicemia and death, with a case fatality rate of 20 percent.  With treatment, fatalities are rare.  </w:t>
      </w:r>
    </w:p>
    <w:p w:rsidR="00E51C76" w:rsidRPr="009D08C5" w:rsidRDefault="00E51C76" w:rsidP="00E51C76">
      <w:pPr>
        <w:spacing w:after="120"/>
        <w:rPr>
          <w:szCs w:val="24"/>
        </w:rPr>
      </w:pPr>
      <w:r w:rsidRPr="009D08C5">
        <w:rPr>
          <w:szCs w:val="24"/>
        </w:rPr>
        <w:t xml:space="preserve">Physical findings are typically nonspecific in inhalational cases, with initial complaints of malaise, fever, headache, and possibly substernal chest pain.  Anthrax is not known to be transmitted via the aerosol route from person to person. </w:t>
      </w:r>
    </w:p>
    <w:p w:rsidR="00E51C76" w:rsidRDefault="00E51C76" w:rsidP="00E51C76">
      <w:pPr>
        <w:rPr>
          <w:sz w:val="24"/>
          <w:szCs w:val="24"/>
        </w:rPr>
      </w:pPr>
    </w:p>
    <w:p w:rsidR="00931F3A" w:rsidRDefault="00931F3A" w:rsidP="00E51C76">
      <w:pPr>
        <w:pStyle w:val="Title"/>
        <w:rPr>
          <w:rFonts w:asciiTheme="minorHAnsi" w:eastAsiaTheme="minorHAnsi" w:hAnsiTheme="minorHAnsi" w:cstheme="minorBidi"/>
          <w:color w:val="auto"/>
          <w:spacing w:val="0"/>
          <w:kern w:val="0"/>
          <w:sz w:val="24"/>
          <w:szCs w:val="24"/>
        </w:rPr>
      </w:pPr>
      <w:r>
        <w:rPr>
          <w:rFonts w:asciiTheme="minorHAnsi" w:eastAsiaTheme="minorHAnsi" w:hAnsiTheme="minorHAnsi" w:cstheme="minorBidi"/>
          <w:color w:val="auto"/>
          <w:spacing w:val="0"/>
          <w:kern w:val="0"/>
          <w:sz w:val="24"/>
          <w:szCs w:val="24"/>
        </w:rPr>
        <w:br w:type="page"/>
      </w:r>
    </w:p>
    <w:p w:rsidR="00E51C76" w:rsidRPr="00EE666B" w:rsidRDefault="00E51C76" w:rsidP="00E51C76">
      <w:pPr>
        <w:pStyle w:val="Title"/>
        <w:rPr>
          <w:sz w:val="44"/>
          <w:szCs w:val="44"/>
        </w:rPr>
      </w:pPr>
      <w:r>
        <w:rPr>
          <w:sz w:val="44"/>
          <w:szCs w:val="44"/>
        </w:rPr>
        <w:t>Scenario</w:t>
      </w:r>
    </w:p>
    <w:p w:rsidR="00CF1A60" w:rsidRDefault="00960374" w:rsidP="00CF1A60">
      <w:pPr>
        <w:rPr>
          <w:rFonts w:cstheme="minorHAnsi"/>
          <w:iCs/>
        </w:rPr>
      </w:pPr>
      <w:r>
        <w:rPr>
          <w:rFonts w:cstheme="minorHAnsi"/>
          <w:i/>
        </w:rPr>
        <w:t>This</w:t>
      </w:r>
      <w:r w:rsidR="00CF1A60" w:rsidRPr="009D08C5">
        <w:rPr>
          <w:rFonts w:cstheme="minorHAnsi"/>
          <w:i/>
        </w:rPr>
        <w:t xml:space="preserve"> scenario</w:t>
      </w:r>
      <w:r>
        <w:rPr>
          <w:rFonts w:cstheme="minorHAnsi"/>
          <w:i/>
        </w:rPr>
        <w:t xml:space="preserve"> is</w:t>
      </w:r>
      <w:r w:rsidR="00CF1A60" w:rsidRPr="009D08C5">
        <w:rPr>
          <w:rFonts w:cstheme="minorHAnsi"/>
          <w:i/>
        </w:rPr>
        <w:t xml:space="preserve"> based upon </w:t>
      </w:r>
      <w:r>
        <w:rPr>
          <w:rFonts w:cstheme="minorHAnsi"/>
          <w:i/>
        </w:rPr>
        <w:t xml:space="preserve">three arbitrary regions and could easily be applied to all local jurisdictions and tribes throughout the State of Michigan. </w:t>
      </w:r>
      <w:r w:rsidR="00CF1A60" w:rsidRPr="009D08C5">
        <w:rPr>
          <w:rFonts w:cstheme="minorHAnsi"/>
          <w:i/>
        </w:rPr>
        <w:t xml:space="preserve"> </w:t>
      </w:r>
      <w:r>
        <w:rPr>
          <w:rFonts w:cstheme="minorHAnsi"/>
          <w:i/>
        </w:rPr>
        <w:t xml:space="preserve">For the purposes of this workshop, assume the following classifications: 1) </w:t>
      </w:r>
      <w:r w:rsidR="00CF1A60" w:rsidRPr="009D08C5">
        <w:rPr>
          <w:rFonts w:cstheme="minorHAnsi"/>
          <w:i/>
        </w:rPr>
        <w:t>a large urban area of 300,000+ residents,</w:t>
      </w:r>
      <w:r>
        <w:rPr>
          <w:rFonts w:cstheme="minorHAnsi"/>
          <w:i/>
        </w:rPr>
        <w:t xml:space="preserve"> 2)</w:t>
      </w:r>
      <w:r w:rsidR="00CF1A60" w:rsidRPr="009D08C5">
        <w:rPr>
          <w:rFonts w:cstheme="minorHAnsi"/>
          <w:i/>
        </w:rPr>
        <w:t xml:space="preserve"> a mid-sized jurisdiction of 130,000+ people,</w:t>
      </w:r>
      <w:r>
        <w:rPr>
          <w:rFonts w:cstheme="minorHAnsi"/>
          <w:i/>
        </w:rPr>
        <w:t xml:space="preserve"> 3)</w:t>
      </w:r>
      <w:r w:rsidR="00CF1A60" w:rsidRPr="009D08C5">
        <w:rPr>
          <w:rFonts w:cstheme="minorHAnsi"/>
          <w:i/>
        </w:rPr>
        <w:t xml:space="preserve"> a </w:t>
      </w:r>
      <w:r>
        <w:rPr>
          <w:rFonts w:cstheme="minorHAnsi"/>
          <w:i/>
        </w:rPr>
        <w:t>rural</w:t>
      </w:r>
      <w:r w:rsidR="00CF1A60" w:rsidRPr="009D08C5">
        <w:rPr>
          <w:rFonts w:cstheme="minorHAnsi"/>
          <w:i/>
        </w:rPr>
        <w:t xml:space="preserve"> community of 40,000+ individuals</w:t>
      </w:r>
      <w:r>
        <w:rPr>
          <w:rFonts w:cstheme="minorHAnsi"/>
          <w:i/>
        </w:rPr>
        <w:t>, and 4)</w:t>
      </w:r>
      <w:r w:rsidR="00CF1A60" w:rsidRPr="009D08C5">
        <w:rPr>
          <w:rFonts w:cstheme="minorHAnsi"/>
          <w:i/>
        </w:rPr>
        <w:t xml:space="preserve"> tribe with </w:t>
      </w:r>
      <w:r>
        <w:rPr>
          <w:rFonts w:cstheme="minorHAnsi"/>
          <w:i/>
        </w:rPr>
        <w:t>1,000</w:t>
      </w:r>
      <w:r w:rsidR="00CF1A60" w:rsidRPr="009D08C5">
        <w:rPr>
          <w:rFonts w:cstheme="minorHAnsi"/>
          <w:i/>
        </w:rPr>
        <w:t xml:space="preserve">+ tribal members all within random jurisdictions.  All 4 of these jurisdictions are independently run by separate health departments and sovereign nation laws, as it pertains to a public health emergency. </w:t>
      </w:r>
    </w:p>
    <w:p w:rsidR="00CF1A60" w:rsidRPr="009D08C5" w:rsidRDefault="00CF1A60" w:rsidP="009D08C5">
      <w:pPr>
        <w:rPr>
          <w:rFonts w:cstheme="minorHAnsi"/>
          <w:iCs/>
        </w:rPr>
      </w:pPr>
      <w:r w:rsidRPr="009D08C5">
        <w:rPr>
          <w:rFonts w:cstheme="minorHAnsi"/>
          <w:iCs/>
        </w:rPr>
        <w:t xml:space="preserve">After a recent resurgence in terrorist activity abroad, credible intelligence has projected the possibility of a terrorist attack on U.S. soil. Over the course of recent months, successful attacks have taken place in Stockholm, Sweden and Brussels, Belgium. During a raid on a terrorist safe house in Toronto, materials used to cultivate biological weapons were seized. Intelligence and Health Care Communities have heightened awareness and surveillance measures in and around major U.S. cities with international borders. Reliable intelligence points to the possible formation of an active terrorist cell in the Midwest, posing a direct threat to the cities of Buffalo, Minneapolis, Detroit, Chicago, Milwaukee, Cleveland </w:t>
      </w:r>
      <w:r w:rsidR="005A2C59" w:rsidRPr="009D08C5">
        <w:rPr>
          <w:rFonts w:cstheme="minorHAnsi"/>
          <w:iCs/>
        </w:rPr>
        <w:t xml:space="preserve">and </w:t>
      </w:r>
      <w:r w:rsidR="005A2C59">
        <w:rPr>
          <w:rFonts w:cstheme="minorHAnsi"/>
          <w:iCs/>
        </w:rPr>
        <w:t>their</w:t>
      </w:r>
      <w:r w:rsidRPr="009D08C5">
        <w:rPr>
          <w:rFonts w:cstheme="minorHAnsi"/>
          <w:iCs/>
        </w:rPr>
        <w:t xml:space="preserve"> surrounding communities. </w:t>
      </w:r>
    </w:p>
    <w:p w:rsidR="00CF1A60" w:rsidRPr="009D08C5" w:rsidRDefault="00CF1A60" w:rsidP="009D08C5">
      <w:pPr>
        <w:rPr>
          <w:rFonts w:cstheme="minorHAnsi"/>
          <w:iCs/>
        </w:rPr>
      </w:pPr>
      <w:r w:rsidRPr="009D08C5">
        <w:rPr>
          <w:rFonts w:cstheme="minorHAnsi"/>
          <w:iCs/>
        </w:rPr>
        <w:t>On June 4</w:t>
      </w:r>
      <w:r w:rsidRPr="009D08C5">
        <w:rPr>
          <w:rFonts w:cstheme="minorHAnsi"/>
          <w:iCs/>
          <w:vertAlign w:val="superscript"/>
        </w:rPr>
        <w:t>th</w:t>
      </w:r>
      <w:r w:rsidRPr="009D08C5">
        <w:rPr>
          <w:rFonts w:cstheme="minorHAnsi"/>
          <w:iCs/>
        </w:rPr>
        <w:t xml:space="preserve"> around 4:30 PM, the Detroit area BioWatch Advisory Committee (BAC) received information from the State Laboratory in Lansing that a total of 6 filters from collector units had tested positive for Bacillus Anthracis, indicating a possible exposure to anthrax spores across a wide potion of </w:t>
      </w:r>
      <w:r w:rsidR="005D2177">
        <w:rPr>
          <w:rFonts w:cstheme="minorHAnsi"/>
          <w:iCs/>
        </w:rPr>
        <w:t>+</w:t>
      </w:r>
      <w:r w:rsidRPr="009D08C5">
        <w:rPr>
          <w:rFonts w:cstheme="minorHAnsi"/>
          <w:iCs/>
        </w:rPr>
        <w:t xml:space="preserve">Michigan. </w:t>
      </w:r>
    </w:p>
    <w:p w:rsidR="00CF1A60" w:rsidRPr="009D08C5" w:rsidRDefault="00CF1A60" w:rsidP="009D08C5">
      <w:pPr>
        <w:rPr>
          <w:rFonts w:cstheme="minorHAnsi"/>
          <w:iCs/>
        </w:rPr>
      </w:pPr>
      <w:r w:rsidRPr="009D08C5">
        <w:rPr>
          <w:rFonts w:cstheme="minorHAnsi"/>
          <w:iCs/>
        </w:rPr>
        <w:t>On the jurisdictional conference call that began at 6:30 PM on June 4</w:t>
      </w:r>
      <w:r w:rsidRPr="009D08C5">
        <w:rPr>
          <w:rFonts w:cstheme="minorHAnsi"/>
          <w:iCs/>
          <w:vertAlign w:val="superscript"/>
        </w:rPr>
        <w:t>th</w:t>
      </w:r>
      <w:r w:rsidRPr="009D08C5">
        <w:rPr>
          <w:rFonts w:cstheme="minorHAnsi"/>
          <w:iCs/>
        </w:rPr>
        <w:t>, the investigative efforts of the Federal Bureau of Investigations (FBI) and state/local law enforcement revealed that two commercial grade trucks, typically used to spray pesticides, were reported stolen from a garage located in Grand Rapids around 2:00 AM on Saturday, June 2</w:t>
      </w:r>
      <w:r w:rsidR="00960374" w:rsidRPr="009D08C5">
        <w:rPr>
          <w:rFonts w:cstheme="minorHAnsi"/>
          <w:iCs/>
          <w:vertAlign w:val="superscript"/>
        </w:rPr>
        <w:t>nd</w:t>
      </w:r>
      <w:r w:rsidRPr="009D08C5">
        <w:rPr>
          <w:rFonts w:cstheme="minorHAnsi"/>
          <w:iCs/>
        </w:rPr>
        <w:t>. Reports state that both vehicles were spotted driving erratically in downtown Grand Rapids and on eastbound I-69 towards Lansing. Witnesses found it odd that individuals in both vehicles were dressed in “white coveralls and facemasks.”</w:t>
      </w:r>
    </w:p>
    <w:p w:rsidR="00CF1A60" w:rsidRDefault="00CF1A60" w:rsidP="00960374">
      <w:pPr>
        <w:rPr>
          <w:rFonts w:cstheme="minorHAnsi"/>
          <w:iCs/>
        </w:rPr>
      </w:pPr>
      <w:r w:rsidRPr="009D08C5">
        <w:rPr>
          <w:rFonts w:cstheme="minorHAnsi"/>
          <w:iCs/>
        </w:rPr>
        <w:t xml:space="preserve">At 7:30 PM on </w:t>
      </w:r>
      <w:r w:rsidR="005D2177">
        <w:rPr>
          <w:rFonts w:cstheme="minorHAnsi"/>
          <w:iCs/>
        </w:rPr>
        <w:t>June 5th</w:t>
      </w:r>
      <w:r w:rsidRPr="009D08C5">
        <w:rPr>
          <w:rFonts w:cstheme="minorHAnsi"/>
          <w:iCs/>
        </w:rPr>
        <w:t xml:space="preserve">, the owner of a parking garage in </w:t>
      </w:r>
      <w:r w:rsidR="00960374" w:rsidRPr="009D08C5">
        <w:rPr>
          <w:rFonts w:cstheme="minorHAnsi"/>
          <w:iCs/>
        </w:rPr>
        <w:t>Lansing</w:t>
      </w:r>
      <w:r w:rsidRPr="009D08C5">
        <w:rPr>
          <w:rFonts w:cstheme="minorHAnsi"/>
          <w:iCs/>
        </w:rPr>
        <w:t xml:space="preserve">, MI reported to police a suspicious vehicle was abandoned at his garage. Within the vehicle local law enforcement found two Tyvek suits and an opened box of N-95 masks. This information was immediately reported to the FBI and the Michigan State Police (MSP). </w:t>
      </w:r>
    </w:p>
    <w:p w:rsidR="00960374" w:rsidRPr="009D08C5" w:rsidRDefault="00960374" w:rsidP="009D08C5">
      <w:pPr>
        <w:pStyle w:val="ListParagraph"/>
        <w:numPr>
          <w:ilvl w:val="0"/>
          <w:numId w:val="27"/>
        </w:numPr>
      </w:pPr>
      <w:r w:rsidRPr="009D08C5">
        <w:t>Reports of hospitals and clinics experiencing an increase in patients presenting with severe flu-like syndrome that includes weakness, chills, high fever, and dull chest pain</w:t>
      </w:r>
      <w:r>
        <w:t>.</w:t>
      </w:r>
    </w:p>
    <w:p w:rsidR="00CF1A60" w:rsidRDefault="00CF1A60" w:rsidP="009D08C5">
      <w:pPr>
        <w:pStyle w:val="ListParagraph"/>
        <w:numPr>
          <w:ilvl w:val="0"/>
          <w:numId w:val="27"/>
        </w:numPr>
      </w:pPr>
      <w:r w:rsidRPr="009D08C5">
        <w:t>Ensuing calls between state, local, and federal agencies (law enforcement, public health, health care, emergency management)</w:t>
      </w:r>
      <w:r w:rsidR="00960374">
        <w:t>.</w:t>
      </w:r>
    </w:p>
    <w:p w:rsidR="00960374" w:rsidRPr="009D08C5" w:rsidRDefault="00960374" w:rsidP="009D08C5">
      <w:pPr>
        <w:pStyle w:val="ListParagraph"/>
        <w:numPr>
          <w:ilvl w:val="0"/>
          <w:numId w:val="27"/>
        </w:numPr>
      </w:pPr>
      <w:r w:rsidRPr="001F6256">
        <w:t xml:space="preserve">Preliminary assessment of available information and existing medical caches suggest need to request for medical materiel from the Strategic National Stockpile (SNS). </w:t>
      </w:r>
    </w:p>
    <w:p w:rsidR="00253E3E" w:rsidRPr="009D08C5" w:rsidRDefault="00CF1A60" w:rsidP="009D08C5">
      <w:pPr>
        <w:pStyle w:val="ListParagraph"/>
        <w:numPr>
          <w:ilvl w:val="0"/>
          <w:numId w:val="22"/>
        </w:numPr>
      </w:pPr>
      <w:r w:rsidRPr="009D08C5">
        <w:t xml:space="preserve">Local health departments </w:t>
      </w:r>
      <w:r w:rsidR="00960374" w:rsidRPr="009D08C5">
        <w:t xml:space="preserve">have begun to </w:t>
      </w:r>
      <w:r w:rsidRPr="009D08C5">
        <w:t xml:space="preserve">initiate plans for mass prophylaxis of first responders and the </w:t>
      </w:r>
      <w:r w:rsidR="00960374" w:rsidRPr="009D08C5">
        <w:t>public</w:t>
      </w:r>
      <w:r w:rsidRPr="009D08C5">
        <w:t>; however, local resources are anticipated to be insufficient</w:t>
      </w:r>
      <w:r w:rsidR="00960374">
        <w:t>.</w:t>
      </w:r>
    </w:p>
    <w:p w:rsidR="00E51C76" w:rsidRPr="009D08C5" w:rsidRDefault="00E51C76" w:rsidP="00E51C76">
      <w:pPr>
        <w:rPr>
          <w:rFonts w:cstheme="minorHAnsi"/>
          <w:noProof/>
        </w:rPr>
      </w:pPr>
      <w:r w:rsidRPr="009D08C5">
        <w:rPr>
          <w:rFonts w:cstheme="minorHAnsi"/>
          <w:noProof/>
        </w:rPr>
        <w:t xml:space="preserve">The CDC deployed medical countermeasures following this exposure in two phases: an initial 10-day and a 50-day course of prophylactic antiobiotic therapy for each impacted local jurisdiction to MDHHS. The distribution of the required antibiotics from MDHHS to local jurisdictions will take place in two distinct phases: </w:t>
      </w:r>
    </w:p>
    <w:p w:rsidR="00E51C76" w:rsidRPr="00676D5F" w:rsidRDefault="00E51C76" w:rsidP="009D08C5">
      <w:pPr>
        <w:pStyle w:val="ListParagraph"/>
        <w:numPr>
          <w:ilvl w:val="0"/>
          <w:numId w:val="26"/>
        </w:numPr>
        <w:rPr>
          <w:rFonts w:cstheme="minorHAnsi"/>
          <w:noProof/>
        </w:rPr>
      </w:pPr>
      <w:r w:rsidRPr="009D08C5">
        <w:rPr>
          <w:rFonts w:cstheme="minorHAnsi"/>
          <w:noProof/>
        </w:rPr>
        <w:t>Phase 1: Rapid dispensing of a 10-day supply of antibiotics to those individuals who were potentially exposed to anthrax</w:t>
      </w:r>
      <w:r w:rsidR="00253E3E">
        <w:rPr>
          <w:rFonts w:cstheme="minorHAnsi"/>
          <w:noProof/>
        </w:rPr>
        <w:t xml:space="preserve"> </w:t>
      </w:r>
    </w:p>
    <w:p w:rsidR="00E51C76" w:rsidRPr="00676D5F" w:rsidRDefault="00E51C76" w:rsidP="009D08C5">
      <w:pPr>
        <w:pStyle w:val="ListParagraph"/>
        <w:numPr>
          <w:ilvl w:val="0"/>
          <w:numId w:val="26"/>
        </w:numPr>
        <w:rPr>
          <w:rFonts w:cstheme="minorHAnsi"/>
          <w:noProof/>
        </w:rPr>
      </w:pPr>
      <w:r w:rsidRPr="009D08C5">
        <w:rPr>
          <w:rFonts w:cstheme="minorHAnsi"/>
          <w:noProof/>
        </w:rPr>
        <w:t xml:space="preserve">Phase 2: </w:t>
      </w:r>
      <w:r w:rsidR="00253E3E">
        <w:rPr>
          <w:rFonts w:cstheme="minorHAnsi"/>
          <w:noProof/>
        </w:rPr>
        <w:t xml:space="preserve">Follow up dispensing of </w:t>
      </w:r>
      <w:r w:rsidRPr="009D08C5">
        <w:rPr>
          <w:rFonts w:cstheme="minorHAnsi"/>
          <w:noProof/>
        </w:rPr>
        <w:t>50-day supply of antibiotics</w:t>
      </w:r>
      <w:r w:rsidR="00253E3E">
        <w:rPr>
          <w:rFonts w:cstheme="minorHAnsi"/>
          <w:noProof/>
        </w:rPr>
        <w:t xml:space="preserve"> and administration of vaccine</w:t>
      </w:r>
      <w:r w:rsidRPr="009D08C5">
        <w:rPr>
          <w:rFonts w:cstheme="minorHAnsi"/>
          <w:noProof/>
        </w:rPr>
        <w:t xml:space="preserve"> to </w:t>
      </w:r>
      <w:r w:rsidR="00253E3E">
        <w:rPr>
          <w:rFonts w:cstheme="minorHAnsi"/>
          <w:noProof/>
        </w:rPr>
        <w:t>identified populations</w:t>
      </w:r>
      <w:r w:rsidRPr="009D08C5">
        <w:rPr>
          <w:rFonts w:cstheme="minorHAnsi"/>
          <w:noProof/>
        </w:rPr>
        <w:t xml:space="preserve"> </w:t>
      </w:r>
    </w:p>
    <w:p w:rsidR="00F20D90" w:rsidRDefault="00E51C76" w:rsidP="00E51C76">
      <w:pPr>
        <w:rPr>
          <w:rFonts w:cstheme="minorHAnsi"/>
          <w:noProof/>
        </w:rPr>
      </w:pPr>
      <w:r w:rsidRPr="009D08C5">
        <w:rPr>
          <w:rFonts w:cstheme="minorHAnsi"/>
          <w:noProof/>
        </w:rPr>
        <w:t xml:space="preserve">The </w:t>
      </w:r>
      <w:r w:rsidR="00253E3E">
        <w:rPr>
          <w:rFonts w:cstheme="minorHAnsi"/>
          <w:noProof/>
        </w:rPr>
        <w:t xml:space="preserve">State of Michigan will also receive limited quantities of </w:t>
      </w:r>
      <w:r w:rsidRPr="009D08C5">
        <w:rPr>
          <w:rFonts w:cstheme="minorHAnsi"/>
          <w:noProof/>
        </w:rPr>
        <w:t xml:space="preserve"> </w:t>
      </w:r>
      <w:r w:rsidR="00253E3E">
        <w:rPr>
          <w:rFonts w:cstheme="minorHAnsi"/>
          <w:noProof/>
        </w:rPr>
        <w:t>A</w:t>
      </w:r>
      <w:r w:rsidRPr="009D08C5">
        <w:rPr>
          <w:rFonts w:cstheme="minorHAnsi"/>
          <w:noProof/>
        </w:rPr>
        <w:t>nthrax</w:t>
      </w:r>
      <w:r w:rsidRPr="00676D5F">
        <w:rPr>
          <w:rFonts w:cstheme="minorHAnsi"/>
          <w:noProof/>
        </w:rPr>
        <w:t xml:space="preserve"> </w:t>
      </w:r>
      <w:r w:rsidR="00253E3E">
        <w:rPr>
          <w:rFonts w:cstheme="minorHAnsi"/>
          <w:noProof/>
        </w:rPr>
        <w:t>V</w:t>
      </w:r>
      <w:r w:rsidR="00253E3E" w:rsidRPr="00676D5F">
        <w:rPr>
          <w:rFonts w:cstheme="minorHAnsi"/>
          <w:noProof/>
        </w:rPr>
        <w:t xml:space="preserve">accine </w:t>
      </w:r>
      <w:r w:rsidR="00253E3E">
        <w:rPr>
          <w:rFonts w:cstheme="minorHAnsi"/>
          <w:noProof/>
        </w:rPr>
        <w:t>Ad</w:t>
      </w:r>
      <w:r w:rsidR="00253E3E" w:rsidRPr="00676D5F">
        <w:rPr>
          <w:rFonts w:cstheme="minorHAnsi"/>
          <w:noProof/>
        </w:rPr>
        <w:t xml:space="preserve">sorbed </w:t>
      </w:r>
      <w:r w:rsidRPr="00676D5F">
        <w:rPr>
          <w:rFonts w:cstheme="minorHAnsi"/>
          <w:noProof/>
        </w:rPr>
        <w:t>(AVA) vaccine into the local 60-day anthrax response strategies. Administering AVA after exposure to anthrax requires a series of three vaccines to provide long-term protection. AVA will be included in phase 2 of CDC’s shipment to MDHHS</w:t>
      </w:r>
      <w:r w:rsidR="003B556F" w:rsidRPr="00676D5F">
        <w:rPr>
          <w:rFonts w:cstheme="minorHAnsi"/>
          <w:noProof/>
        </w:rPr>
        <w:t>.</w:t>
      </w:r>
    </w:p>
    <w:p w:rsidR="00253E3E" w:rsidRDefault="00253E3E" w:rsidP="009D08C5">
      <w:pPr>
        <w:jc w:val="center"/>
        <w:rPr>
          <w:rFonts w:cstheme="minorHAnsi"/>
          <w:noProof/>
        </w:rPr>
      </w:pPr>
      <w:r w:rsidRPr="00253E3E">
        <w:rPr>
          <w:rFonts w:cstheme="minorHAnsi"/>
          <w:noProof/>
        </w:rPr>
        <w:drawing>
          <wp:inline distT="0" distB="0" distL="0" distR="0" wp14:anchorId="67EA612D" wp14:editId="0F7D4B0D">
            <wp:extent cx="5943600" cy="41472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147284"/>
                    </a:xfrm>
                    <a:prstGeom prst="rect">
                      <a:avLst/>
                    </a:prstGeom>
                    <a:noFill/>
                    <a:ln>
                      <a:noFill/>
                    </a:ln>
                  </pic:spPr>
                </pic:pic>
              </a:graphicData>
            </a:graphic>
          </wp:inline>
        </w:drawing>
      </w:r>
    </w:p>
    <w:p w:rsidR="00F20D90" w:rsidRPr="00F20D90" w:rsidRDefault="00F20D90" w:rsidP="009D08C5">
      <w:pPr>
        <w:jc w:val="center"/>
        <w:rPr>
          <w:rFonts w:cstheme="minorHAnsi"/>
          <w:noProof/>
          <w:sz w:val="18"/>
          <w:szCs w:val="18"/>
        </w:rPr>
      </w:pPr>
      <w:r w:rsidRPr="00F20D90">
        <w:rPr>
          <w:rFonts w:cstheme="minorHAnsi"/>
          <w:noProof/>
          <w:sz w:val="18"/>
          <w:szCs w:val="18"/>
        </w:rPr>
        <w:t>CDC’s Strategic National Stockpile Timeline</w:t>
      </w:r>
    </w:p>
    <w:p w:rsidR="00253E3E" w:rsidRPr="00676D5F" w:rsidRDefault="00253E3E" w:rsidP="00E51C76">
      <w:pPr>
        <w:rPr>
          <w:rFonts w:cstheme="minorHAnsi"/>
          <w:noProof/>
        </w:rPr>
      </w:pPr>
    </w:p>
    <w:p w:rsidR="00E51C76" w:rsidRDefault="00E51C76" w:rsidP="00E51C76">
      <w:pPr>
        <w:rPr>
          <w:rFonts w:cstheme="minorHAnsi"/>
        </w:rPr>
      </w:pPr>
      <w:r w:rsidRPr="00676D5F">
        <w:rPr>
          <w:rFonts w:cstheme="minorHAnsi"/>
        </w:rPr>
        <w:t>With the incorporation of AVA and an enhanced understanding of the biological agent (</w:t>
      </w:r>
      <w:r w:rsidRPr="00676D5F">
        <w:rPr>
          <w:rFonts w:cstheme="minorHAnsi"/>
          <w:i/>
          <w:iCs/>
        </w:rPr>
        <w:t>Bacillus anthracis</w:t>
      </w:r>
      <w:r w:rsidRPr="00676D5F">
        <w:rPr>
          <w:rFonts w:cstheme="minorHAnsi"/>
        </w:rPr>
        <w:t xml:space="preserve">), there has been a renewed focus on distribution and dispensing operations during a sustained anthrax response to ensure all forms of protection are provided and there is no lapse in post-exposure prophylaxis (PEP) between the initial and secondary phases. MCM-related response efforts should include support of treatment, epidemiology, and completion and compliance of the recommended prophylactic course. </w:t>
      </w:r>
    </w:p>
    <w:p w:rsidR="00253E3E" w:rsidRDefault="00676D5F" w:rsidP="00E51C76">
      <w:pPr>
        <w:rPr>
          <w:rFonts w:cstheme="minorHAnsi"/>
        </w:rPr>
      </w:pPr>
      <w:r>
        <w:rPr>
          <w:rFonts w:cstheme="minorHAnsi"/>
        </w:rPr>
        <w:t xml:space="preserve">The SNS has limited quantities of AVA, which may be insufficient to immunize the entire affected population during a large anthrax event. The CDC’s recommendation for AVA use during an incident </w:t>
      </w:r>
      <w:proofErr w:type="gramStart"/>
      <w:r w:rsidRPr="00AF7074">
        <w:rPr>
          <w:rFonts w:cstheme="minorHAnsi"/>
        </w:rPr>
        <w:t>is</w:t>
      </w:r>
      <w:r w:rsidR="00AF7074">
        <w:rPr>
          <w:rFonts w:cstheme="minorHAnsi"/>
        </w:rPr>
        <w:t xml:space="preserve">  to</w:t>
      </w:r>
      <w:proofErr w:type="gramEnd"/>
      <w:r w:rsidR="00AF7074">
        <w:rPr>
          <w:rFonts w:cstheme="minorHAnsi"/>
        </w:rPr>
        <w:t xml:space="preserve"> </w:t>
      </w:r>
      <w:r w:rsidR="00AF7074" w:rsidRPr="0070219E">
        <w:rPr>
          <w:rFonts w:cstheme="minorHAnsi"/>
        </w:rPr>
        <w:t>vaccinate</w:t>
      </w:r>
      <w:r>
        <w:rPr>
          <w:rFonts w:cstheme="minorHAnsi"/>
        </w:rPr>
        <w:t xml:space="preserve"> the entire affected population. However, since AVA is a limited resource, the CDC developed the following three-tier system for consideration in prioritizing assets following anthrax exposure.</w:t>
      </w:r>
    </w:p>
    <w:p w:rsidR="00676D5F" w:rsidRDefault="00676D5F" w:rsidP="009D08C5">
      <w:pPr>
        <w:pStyle w:val="ListParagraph"/>
        <w:numPr>
          <w:ilvl w:val="0"/>
          <w:numId w:val="25"/>
        </w:numPr>
        <w:rPr>
          <w:rFonts w:cstheme="minorHAnsi"/>
          <w:b/>
        </w:rPr>
      </w:pPr>
      <w:r w:rsidRPr="009D08C5">
        <w:rPr>
          <w:rFonts w:cstheme="minorHAnsi"/>
          <w:b/>
        </w:rPr>
        <w:t>Tier 1: Highest Risk of Anthrax Aerosol Exposure</w:t>
      </w:r>
    </w:p>
    <w:p w:rsidR="00676D5F" w:rsidRPr="00676D5F" w:rsidRDefault="00676D5F" w:rsidP="009D08C5">
      <w:pPr>
        <w:pStyle w:val="ListParagraph"/>
        <w:numPr>
          <w:ilvl w:val="1"/>
          <w:numId w:val="25"/>
        </w:numPr>
        <w:rPr>
          <w:rFonts w:cstheme="minorHAnsi"/>
        </w:rPr>
      </w:pPr>
      <w:r w:rsidRPr="009D08C5">
        <w:rPr>
          <w:rFonts w:cstheme="minorHAnsi"/>
        </w:rPr>
        <w:t xml:space="preserve">Individuals in the affected area present during the initial release of </w:t>
      </w:r>
      <w:r w:rsidRPr="009D08C5">
        <w:rPr>
          <w:rFonts w:cstheme="minorHAnsi"/>
          <w:i/>
        </w:rPr>
        <w:t>B. anthracis spores</w:t>
      </w:r>
      <w:r w:rsidRPr="009D08C5">
        <w:rPr>
          <w:rFonts w:cstheme="minorHAnsi"/>
        </w:rPr>
        <w:t>; select responders involved in highest-risk activities in support of Unified Command’s environmental and criminal response.</w:t>
      </w:r>
    </w:p>
    <w:p w:rsidR="00676D5F" w:rsidRDefault="00676D5F" w:rsidP="009D08C5">
      <w:pPr>
        <w:pStyle w:val="ListParagraph"/>
        <w:numPr>
          <w:ilvl w:val="0"/>
          <w:numId w:val="25"/>
        </w:numPr>
        <w:rPr>
          <w:rFonts w:cstheme="minorHAnsi"/>
          <w:b/>
        </w:rPr>
      </w:pPr>
      <w:r w:rsidRPr="009D08C5">
        <w:rPr>
          <w:rFonts w:cstheme="minorHAnsi"/>
          <w:b/>
        </w:rPr>
        <w:t>Tier 2: Medium Risk of Anthrax Aerosol Exposure</w:t>
      </w:r>
    </w:p>
    <w:p w:rsidR="00676D5F" w:rsidRPr="00676D5F" w:rsidRDefault="00676D5F" w:rsidP="009D08C5">
      <w:pPr>
        <w:pStyle w:val="ListParagraph"/>
        <w:numPr>
          <w:ilvl w:val="1"/>
          <w:numId w:val="25"/>
        </w:numPr>
        <w:rPr>
          <w:rFonts w:cstheme="minorHAnsi"/>
        </w:rPr>
      </w:pPr>
      <w:r w:rsidRPr="00B120E1">
        <w:rPr>
          <w:rFonts w:cstheme="minorHAnsi"/>
        </w:rPr>
        <w:t xml:space="preserve">Individuals without exposure to primary aerosols of </w:t>
      </w:r>
      <w:r w:rsidRPr="009D08C5">
        <w:rPr>
          <w:rFonts w:cstheme="minorHAnsi"/>
          <w:i/>
        </w:rPr>
        <w:t>B. anthracis</w:t>
      </w:r>
      <w:r w:rsidRPr="00B120E1">
        <w:rPr>
          <w:rFonts w:cstheme="minorHAnsi"/>
        </w:rPr>
        <w:t xml:space="preserve"> but a potential risk for exposure to secondary aerosols of </w:t>
      </w:r>
      <w:r w:rsidRPr="00B120E1">
        <w:rPr>
          <w:rFonts w:cstheme="minorHAnsi"/>
          <w:i/>
        </w:rPr>
        <w:t>B</w:t>
      </w:r>
      <w:r w:rsidR="00B120E1">
        <w:rPr>
          <w:rFonts w:cstheme="minorHAnsi"/>
          <w:i/>
        </w:rPr>
        <w:t xml:space="preserve">. anthracis </w:t>
      </w:r>
      <w:r w:rsidRPr="009D08C5">
        <w:rPr>
          <w:rFonts w:cstheme="minorHAnsi"/>
        </w:rPr>
        <w:t>due to entry into contaminated areas.</w:t>
      </w:r>
    </w:p>
    <w:p w:rsidR="00676D5F" w:rsidRDefault="00676D5F" w:rsidP="009D08C5">
      <w:pPr>
        <w:pStyle w:val="ListParagraph"/>
        <w:numPr>
          <w:ilvl w:val="0"/>
          <w:numId w:val="25"/>
        </w:numPr>
        <w:rPr>
          <w:rFonts w:cstheme="minorHAnsi"/>
          <w:b/>
        </w:rPr>
      </w:pPr>
      <w:r w:rsidRPr="009D08C5">
        <w:rPr>
          <w:rFonts w:cstheme="minorHAnsi"/>
          <w:b/>
        </w:rPr>
        <w:t>Tier 3: Lowest Risk of Anthrax Exposure</w:t>
      </w:r>
    </w:p>
    <w:p w:rsidR="00676D5F" w:rsidRPr="00676D5F" w:rsidRDefault="00676D5F" w:rsidP="009D08C5">
      <w:pPr>
        <w:pStyle w:val="ListParagraph"/>
        <w:numPr>
          <w:ilvl w:val="1"/>
          <w:numId w:val="25"/>
        </w:numPr>
        <w:rPr>
          <w:rFonts w:cstheme="minorHAnsi"/>
        </w:rPr>
      </w:pPr>
      <w:r w:rsidRPr="009D08C5">
        <w:rPr>
          <w:rFonts w:cstheme="minorHAnsi"/>
        </w:rPr>
        <w:t>Individuals living in border areas and progressively distant from affected areas.</w:t>
      </w:r>
    </w:p>
    <w:p w:rsidR="00E51C76" w:rsidRPr="00676D5F" w:rsidRDefault="00E51C76" w:rsidP="00E51C76">
      <w:pPr>
        <w:rPr>
          <w:rFonts w:cstheme="minorHAnsi"/>
        </w:rPr>
      </w:pPr>
      <w:r w:rsidRPr="00676D5F">
        <w:rPr>
          <w:rFonts w:cstheme="minorHAnsi"/>
        </w:rPr>
        <w:t xml:space="preserve">The </w:t>
      </w:r>
      <w:r w:rsidR="003B556F" w:rsidRPr="00676D5F">
        <w:rPr>
          <w:rFonts w:cstheme="minorHAnsi"/>
        </w:rPr>
        <w:t>prepared</w:t>
      </w:r>
      <w:r w:rsidRPr="00676D5F">
        <w:rPr>
          <w:rFonts w:cstheme="minorHAnsi"/>
        </w:rPr>
        <w:t xml:space="preserve"> questions will </w:t>
      </w:r>
      <w:r w:rsidR="003B556F" w:rsidRPr="00676D5F">
        <w:rPr>
          <w:rFonts w:cstheme="minorHAnsi"/>
        </w:rPr>
        <w:t xml:space="preserve">aid </w:t>
      </w:r>
      <w:r w:rsidR="00253E3E">
        <w:rPr>
          <w:rFonts w:cstheme="minorHAnsi"/>
        </w:rPr>
        <w:t xml:space="preserve">in </w:t>
      </w:r>
      <w:r w:rsidR="003B556F" w:rsidRPr="00676D5F">
        <w:rPr>
          <w:rFonts w:cstheme="minorHAnsi"/>
        </w:rPr>
        <w:t>discussions to align capabilities with distribution and dispensing strategies.</w:t>
      </w:r>
    </w:p>
    <w:p w:rsidR="00E51C76" w:rsidRPr="00EE666B" w:rsidRDefault="00E51C76" w:rsidP="00E51C76">
      <w:pPr>
        <w:pStyle w:val="Title"/>
        <w:rPr>
          <w:sz w:val="44"/>
          <w:szCs w:val="44"/>
        </w:rPr>
      </w:pPr>
      <w:r>
        <w:rPr>
          <w:sz w:val="44"/>
          <w:szCs w:val="44"/>
        </w:rPr>
        <w:t>Assumptions</w:t>
      </w:r>
    </w:p>
    <w:p w:rsidR="00B46848" w:rsidRDefault="00B46848" w:rsidP="00AF4295">
      <w:pPr>
        <w:pStyle w:val="ListParagraph"/>
        <w:numPr>
          <w:ilvl w:val="0"/>
          <w:numId w:val="9"/>
        </w:numPr>
        <w:tabs>
          <w:tab w:val="left" w:pos="285"/>
          <w:tab w:val="center" w:pos="4680"/>
        </w:tabs>
      </w:pPr>
      <w:r>
        <w:t xml:space="preserve">The scenario is plausible, and </w:t>
      </w:r>
      <w:r w:rsidRPr="00B46848">
        <w:t>events</w:t>
      </w:r>
      <w:r>
        <w:t xml:space="preserve"> occur as they are presented.</w:t>
      </w:r>
    </w:p>
    <w:p w:rsidR="00B46848" w:rsidRDefault="00B46848" w:rsidP="00AF4295">
      <w:pPr>
        <w:pStyle w:val="ListParagraph"/>
        <w:numPr>
          <w:ilvl w:val="0"/>
          <w:numId w:val="9"/>
        </w:numPr>
        <w:tabs>
          <w:tab w:val="left" w:pos="285"/>
          <w:tab w:val="center" w:pos="4680"/>
        </w:tabs>
      </w:pPr>
      <w:r>
        <w:t>There is no “hidden agenda”, nor any trick questions.</w:t>
      </w:r>
    </w:p>
    <w:p w:rsidR="00B46848" w:rsidRDefault="00B46848" w:rsidP="00AF4295">
      <w:pPr>
        <w:pStyle w:val="ListParagraph"/>
        <w:numPr>
          <w:ilvl w:val="0"/>
          <w:numId w:val="9"/>
        </w:numPr>
        <w:tabs>
          <w:tab w:val="left" w:pos="285"/>
          <w:tab w:val="center" w:pos="4680"/>
        </w:tabs>
      </w:pPr>
      <w:r>
        <w:t>All players receive information at the same time.</w:t>
      </w:r>
    </w:p>
    <w:p w:rsidR="00E51C76" w:rsidRPr="004F209D" w:rsidRDefault="00E51C76" w:rsidP="00AF4295">
      <w:pPr>
        <w:pStyle w:val="ListParagraph"/>
        <w:numPr>
          <w:ilvl w:val="0"/>
          <w:numId w:val="9"/>
        </w:numPr>
        <w:tabs>
          <w:tab w:val="left" w:pos="285"/>
          <w:tab w:val="center" w:pos="4680"/>
        </w:tabs>
      </w:pPr>
      <w:r w:rsidRPr="004F209D">
        <w:t>Jurisdictions</w:t>
      </w:r>
      <w:r w:rsidR="00332956">
        <w:t xml:space="preserve"> and tribes</w:t>
      </w:r>
      <w:r w:rsidRPr="004F209D">
        <w:t xml:space="preserve"> included in the scenario have</w:t>
      </w:r>
      <w:r w:rsidR="00332956">
        <w:t xml:space="preserve"> full capacity to implement initial dispensing campaigns in their</w:t>
      </w:r>
      <w:r w:rsidRPr="004F209D">
        <w:t xml:space="preserve"> community. </w:t>
      </w:r>
    </w:p>
    <w:p w:rsidR="00DA51B1" w:rsidRDefault="00DA51B1" w:rsidP="00AF4295">
      <w:pPr>
        <w:pStyle w:val="ListParagraph"/>
        <w:numPr>
          <w:ilvl w:val="0"/>
          <w:numId w:val="9"/>
        </w:numPr>
        <w:tabs>
          <w:tab w:val="left" w:pos="285"/>
          <w:tab w:val="center" w:pos="4680"/>
        </w:tabs>
      </w:pPr>
      <w:r>
        <w:t xml:space="preserve">Although a full workforce may be assigned to the POD, there may be </w:t>
      </w:r>
      <w:r w:rsidR="00332956">
        <w:t xml:space="preserve">limited quantities of personnel </w:t>
      </w:r>
      <w:r>
        <w:t xml:space="preserve">available to </w:t>
      </w:r>
      <w:r w:rsidR="00332956">
        <w:t>administer vaccine</w:t>
      </w:r>
      <w:r>
        <w:t>.</w:t>
      </w:r>
    </w:p>
    <w:p w:rsidR="00DA51B1" w:rsidRDefault="00DA51B1" w:rsidP="00DA51B1">
      <w:pPr>
        <w:pStyle w:val="ListParagraph"/>
        <w:tabs>
          <w:tab w:val="left" w:pos="285"/>
          <w:tab w:val="center" w:pos="4680"/>
        </w:tabs>
      </w:pPr>
    </w:p>
    <w:p w:rsidR="001E5F28" w:rsidRDefault="001E5F28" w:rsidP="00E51C76">
      <w:pPr>
        <w:rPr>
          <w:sz w:val="24"/>
          <w:szCs w:val="24"/>
          <w:highlight w:val="green"/>
        </w:rPr>
      </w:pPr>
    </w:p>
    <w:p w:rsidR="00E51C76" w:rsidRDefault="00E51C76" w:rsidP="00E51C76"/>
    <w:p w:rsidR="004D40C6" w:rsidRPr="00E51C76" w:rsidRDefault="004D40C6" w:rsidP="00E51C76">
      <w:pPr>
        <w:sectPr w:rsidR="004D40C6" w:rsidRPr="00E51C76" w:rsidSect="000305A8">
          <w:pgSz w:w="12240" w:h="15840"/>
          <w:pgMar w:top="1440" w:right="1440" w:bottom="1440" w:left="1440" w:header="720" w:footer="720" w:gutter="0"/>
          <w:cols w:space="720"/>
          <w:docGrid w:linePitch="360"/>
        </w:sectPr>
      </w:pPr>
    </w:p>
    <w:p w:rsidR="00E92AF4" w:rsidRPr="001E5F28" w:rsidRDefault="007B64B9" w:rsidP="009D08C5">
      <w:pPr>
        <w:pStyle w:val="Title"/>
        <w:rPr>
          <w:rFonts w:asciiTheme="minorHAnsi" w:hAnsiTheme="minorHAnsi"/>
          <w:color w:val="auto"/>
          <w:sz w:val="24"/>
          <w:szCs w:val="24"/>
        </w:rPr>
      </w:pPr>
      <w:r>
        <w:rPr>
          <w:sz w:val="44"/>
          <w:szCs w:val="44"/>
        </w:rPr>
        <w:t>Breakout Session</w:t>
      </w:r>
      <w:r w:rsidR="002C5173">
        <w:rPr>
          <w:sz w:val="44"/>
          <w:szCs w:val="44"/>
        </w:rPr>
        <w:t xml:space="preserve"> Overview</w:t>
      </w:r>
    </w:p>
    <w:p w:rsidR="00C7074C" w:rsidRPr="009D08C5" w:rsidRDefault="00E92AF4" w:rsidP="00E92AF4">
      <w:pPr>
        <w:spacing w:after="160" w:line="259" w:lineRule="auto"/>
        <w:rPr>
          <w:rFonts w:eastAsia="Calibri" w:cstheme="minorHAnsi"/>
        </w:rPr>
      </w:pPr>
      <w:r w:rsidRPr="009D08C5">
        <w:rPr>
          <w:rFonts w:eastAsia="Calibri" w:cstheme="minorHAnsi"/>
        </w:rPr>
        <w:t>T</w:t>
      </w:r>
      <w:r w:rsidR="006F6308" w:rsidRPr="009D08C5">
        <w:rPr>
          <w:rFonts w:eastAsia="Calibri" w:cstheme="minorHAnsi"/>
        </w:rPr>
        <w:t>he purpose of the b</w:t>
      </w:r>
      <w:r w:rsidRPr="009D08C5">
        <w:rPr>
          <w:rFonts w:eastAsia="Calibri" w:cstheme="minorHAnsi"/>
        </w:rPr>
        <w:t xml:space="preserve">reakout </w:t>
      </w:r>
      <w:r w:rsidR="006F6308" w:rsidRPr="009D08C5">
        <w:rPr>
          <w:rFonts w:eastAsia="Calibri" w:cstheme="minorHAnsi"/>
        </w:rPr>
        <w:t>session</w:t>
      </w:r>
      <w:r w:rsidRPr="009D08C5">
        <w:rPr>
          <w:rFonts w:eastAsia="Calibri" w:cstheme="minorHAnsi"/>
        </w:rPr>
        <w:t xml:space="preserve"> is to </w:t>
      </w:r>
      <w:r w:rsidR="00C644FF" w:rsidRPr="009D08C5">
        <w:rPr>
          <w:rFonts w:eastAsia="Calibri" w:cstheme="minorHAnsi"/>
        </w:rPr>
        <w:t xml:space="preserve">identify needs and potential strategies </w:t>
      </w:r>
      <w:r w:rsidR="00B82E5C" w:rsidRPr="009D08C5">
        <w:rPr>
          <w:rFonts w:eastAsia="Calibri" w:cstheme="minorHAnsi"/>
        </w:rPr>
        <w:t xml:space="preserve">for an extended medical countermeasure distribution and </w:t>
      </w:r>
      <w:r w:rsidR="0026736F" w:rsidRPr="009D08C5">
        <w:rPr>
          <w:rFonts w:eastAsia="Calibri" w:cstheme="minorHAnsi"/>
        </w:rPr>
        <w:t>dispensing</w:t>
      </w:r>
      <w:r w:rsidR="004D0201" w:rsidRPr="009D08C5">
        <w:rPr>
          <w:rFonts w:eastAsia="Calibri" w:cstheme="minorHAnsi"/>
        </w:rPr>
        <w:t xml:space="preserve"> campaign</w:t>
      </w:r>
      <w:r w:rsidR="00C7074C" w:rsidRPr="009D08C5">
        <w:rPr>
          <w:rFonts w:eastAsia="Calibri" w:cstheme="minorHAnsi"/>
        </w:rPr>
        <w:t>,</w:t>
      </w:r>
      <w:r w:rsidR="0026736F" w:rsidRPr="009D08C5">
        <w:rPr>
          <w:rFonts w:eastAsia="Calibri" w:cstheme="minorHAnsi"/>
        </w:rPr>
        <w:t xml:space="preserve"> </w:t>
      </w:r>
      <w:r w:rsidR="00C644FF" w:rsidRPr="009D08C5">
        <w:rPr>
          <w:rFonts w:eastAsia="Calibri" w:cstheme="minorHAnsi"/>
        </w:rPr>
        <w:t xml:space="preserve">as well as solicit information on how </w:t>
      </w:r>
      <w:r w:rsidR="001E5F28" w:rsidRPr="009D08C5">
        <w:rPr>
          <w:rFonts w:eastAsia="Calibri" w:cstheme="minorHAnsi"/>
        </w:rPr>
        <w:t xml:space="preserve">to </w:t>
      </w:r>
      <w:r w:rsidR="00DC04E3" w:rsidRPr="009D08C5">
        <w:rPr>
          <w:rFonts w:eastAsia="Calibri" w:cstheme="minorHAnsi"/>
        </w:rPr>
        <w:t>strengthen</w:t>
      </w:r>
      <w:r w:rsidR="00C644FF" w:rsidRPr="009D08C5">
        <w:rPr>
          <w:rFonts w:eastAsia="Calibri" w:cstheme="minorHAnsi"/>
        </w:rPr>
        <w:t xml:space="preserve"> existing plans</w:t>
      </w:r>
      <w:r w:rsidR="00C7074C" w:rsidRPr="009D08C5">
        <w:rPr>
          <w:rFonts w:eastAsia="Calibri" w:cstheme="minorHAnsi"/>
        </w:rPr>
        <w:t xml:space="preserve"> to align with long-term dispensing strategies</w:t>
      </w:r>
      <w:r w:rsidR="001E5F28" w:rsidRPr="009D08C5">
        <w:rPr>
          <w:rFonts w:eastAsia="Calibri" w:cstheme="minorHAnsi"/>
        </w:rPr>
        <w:t xml:space="preserve">. </w:t>
      </w:r>
    </w:p>
    <w:p w:rsidR="00C644FF" w:rsidRPr="009D08C5" w:rsidRDefault="00C644FF" w:rsidP="00E92AF4">
      <w:pPr>
        <w:spacing w:after="160" w:line="259" w:lineRule="auto"/>
        <w:rPr>
          <w:rFonts w:eastAsia="Calibri" w:cstheme="minorHAnsi"/>
          <w:b/>
        </w:rPr>
      </w:pPr>
      <w:r w:rsidRPr="009D08C5">
        <w:rPr>
          <w:rFonts w:eastAsia="Calibri" w:cstheme="minorHAnsi"/>
          <w:b/>
        </w:rPr>
        <w:t>Agenda</w:t>
      </w:r>
    </w:p>
    <w:tbl>
      <w:tblPr>
        <w:tblW w:w="9468" w:type="dxa"/>
        <w:tblBorders>
          <w:top w:val="single" w:sz="12" w:space="0" w:color="000080"/>
          <w:left w:val="single" w:sz="12" w:space="0" w:color="000080"/>
          <w:bottom w:val="single" w:sz="4" w:space="0" w:color="auto"/>
          <w:right w:val="single" w:sz="12" w:space="0" w:color="000080"/>
          <w:insideH w:val="single" w:sz="4" w:space="0" w:color="auto"/>
          <w:insideV w:val="single" w:sz="4" w:space="0" w:color="auto"/>
        </w:tblBorders>
        <w:tblLook w:val="01E0" w:firstRow="1" w:lastRow="1" w:firstColumn="1" w:lastColumn="1" w:noHBand="0" w:noVBand="0"/>
      </w:tblPr>
      <w:tblGrid>
        <w:gridCol w:w="1335"/>
        <w:gridCol w:w="8133"/>
      </w:tblGrid>
      <w:tr w:rsidR="00C644FF" w:rsidRPr="00845362" w:rsidTr="005574E4">
        <w:tc>
          <w:tcPr>
            <w:tcW w:w="1335" w:type="dxa"/>
            <w:shd w:val="clear" w:color="auto" w:fill="244061" w:themeFill="accent1" w:themeFillShade="80"/>
          </w:tcPr>
          <w:p w:rsidR="00C644FF" w:rsidRPr="009D08C5" w:rsidRDefault="00C644FF" w:rsidP="005574E4">
            <w:pPr>
              <w:spacing w:before="40" w:after="40" w:line="240" w:lineRule="auto"/>
              <w:rPr>
                <w:rFonts w:eastAsia="Times New Roman" w:cstheme="minorHAnsi"/>
                <w:b/>
              </w:rPr>
            </w:pPr>
            <w:r w:rsidRPr="009D08C5">
              <w:rPr>
                <w:rFonts w:eastAsia="Times New Roman" w:cstheme="minorHAnsi"/>
                <w:b/>
              </w:rPr>
              <w:t>Time</w:t>
            </w:r>
          </w:p>
        </w:tc>
        <w:tc>
          <w:tcPr>
            <w:tcW w:w="8133" w:type="dxa"/>
            <w:shd w:val="clear" w:color="auto" w:fill="244061" w:themeFill="accent1" w:themeFillShade="80"/>
          </w:tcPr>
          <w:p w:rsidR="00C644FF" w:rsidRPr="009D08C5" w:rsidRDefault="00C644FF" w:rsidP="005574E4">
            <w:pPr>
              <w:spacing w:before="40" w:after="40" w:line="240" w:lineRule="auto"/>
              <w:jc w:val="center"/>
              <w:rPr>
                <w:rFonts w:eastAsia="Times New Roman" w:cstheme="minorHAnsi"/>
                <w:b/>
              </w:rPr>
            </w:pPr>
            <w:r w:rsidRPr="009D08C5">
              <w:rPr>
                <w:rFonts w:eastAsia="Times New Roman" w:cstheme="minorHAnsi"/>
                <w:b/>
              </w:rPr>
              <w:t>Activity</w:t>
            </w:r>
          </w:p>
        </w:tc>
      </w:tr>
      <w:tr w:rsidR="00C644FF" w:rsidRPr="00845362" w:rsidTr="005574E4">
        <w:trPr>
          <w:trHeight w:val="288"/>
        </w:trPr>
        <w:tc>
          <w:tcPr>
            <w:tcW w:w="1335"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10:10 AM</w:t>
            </w:r>
          </w:p>
        </w:tc>
        <w:tc>
          <w:tcPr>
            <w:tcW w:w="8133" w:type="dxa"/>
          </w:tcPr>
          <w:p w:rsidR="00C644FF" w:rsidRPr="009D08C5" w:rsidRDefault="00C644FF" w:rsidP="005574E4">
            <w:pPr>
              <w:spacing w:before="40" w:after="40" w:line="240" w:lineRule="auto"/>
              <w:rPr>
                <w:rFonts w:eastAsia="Times New Roman" w:cstheme="minorHAnsi"/>
                <w:i/>
              </w:rPr>
            </w:pPr>
            <w:r w:rsidRPr="009D08C5">
              <w:rPr>
                <w:rFonts w:eastAsia="Times New Roman" w:cstheme="minorHAnsi"/>
              </w:rPr>
              <w:t xml:space="preserve">Exercise Overview/Planning Considerations </w:t>
            </w:r>
          </w:p>
        </w:tc>
      </w:tr>
      <w:tr w:rsidR="00C644FF" w:rsidRPr="00845362" w:rsidTr="005574E4">
        <w:trPr>
          <w:trHeight w:val="288"/>
        </w:trPr>
        <w:tc>
          <w:tcPr>
            <w:tcW w:w="1335"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10:30 AM</w:t>
            </w:r>
          </w:p>
        </w:tc>
        <w:tc>
          <w:tcPr>
            <w:tcW w:w="8133"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 xml:space="preserve">Partner Breakout with Questions </w:t>
            </w:r>
          </w:p>
        </w:tc>
      </w:tr>
      <w:tr w:rsidR="00C644FF" w:rsidRPr="00845362" w:rsidTr="005574E4">
        <w:trPr>
          <w:trHeight w:val="288"/>
        </w:trPr>
        <w:tc>
          <w:tcPr>
            <w:tcW w:w="1335"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11:00 AM</w:t>
            </w:r>
          </w:p>
        </w:tc>
        <w:tc>
          <w:tcPr>
            <w:tcW w:w="8133"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 xml:space="preserve">Partner Report Out of Key Findings/Considerations </w:t>
            </w:r>
          </w:p>
        </w:tc>
      </w:tr>
      <w:tr w:rsidR="00C644FF" w:rsidRPr="00845362" w:rsidTr="005574E4">
        <w:trPr>
          <w:trHeight w:val="288"/>
        </w:trPr>
        <w:tc>
          <w:tcPr>
            <w:tcW w:w="1335"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11:30 AM</w:t>
            </w:r>
          </w:p>
        </w:tc>
        <w:tc>
          <w:tcPr>
            <w:tcW w:w="8133"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 xml:space="preserve">Next Steps </w:t>
            </w:r>
          </w:p>
        </w:tc>
      </w:tr>
      <w:tr w:rsidR="00C644FF" w:rsidRPr="00845362" w:rsidTr="005574E4">
        <w:trPr>
          <w:trHeight w:val="288"/>
        </w:trPr>
        <w:tc>
          <w:tcPr>
            <w:tcW w:w="1335"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12:00 PM</w:t>
            </w:r>
          </w:p>
        </w:tc>
        <w:tc>
          <w:tcPr>
            <w:tcW w:w="8133" w:type="dxa"/>
          </w:tcPr>
          <w:p w:rsidR="00C644FF" w:rsidRPr="009D08C5" w:rsidRDefault="00C644FF" w:rsidP="005574E4">
            <w:pPr>
              <w:spacing w:before="40" w:after="40" w:line="240" w:lineRule="auto"/>
              <w:rPr>
                <w:rFonts w:eastAsia="Times New Roman" w:cstheme="minorHAnsi"/>
              </w:rPr>
            </w:pPr>
            <w:r w:rsidRPr="009D08C5">
              <w:rPr>
                <w:rFonts w:eastAsia="Times New Roman" w:cstheme="minorHAnsi"/>
              </w:rPr>
              <w:t>Adjourn</w:t>
            </w:r>
          </w:p>
        </w:tc>
      </w:tr>
    </w:tbl>
    <w:p w:rsidR="00845362" w:rsidRPr="009D08C5" w:rsidRDefault="00845362" w:rsidP="00E92AF4">
      <w:pPr>
        <w:spacing w:after="160" w:line="259" w:lineRule="auto"/>
        <w:rPr>
          <w:rFonts w:eastAsia="Calibri" w:cstheme="minorHAnsi"/>
        </w:rPr>
      </w:pPr>
    </w:p>
    <w:p w:rsidR="00A70BCD" w:rsidRPr="009D08C5" w:rsidRDefault="00C7074C" w:rsidP="00E92AF4">
      <w:pPr>
        <w:spacing w:after="160" w:line="259" w:lineRule="auto"/>
        <w:rPr>
          <w:rFonts w:eastAsia="Calibri" w:cstheme="minorHAnsi"/>
        </w:rPr>
      </w:pPr>
      <w:r w:rsidRPr="009D08C5">
        <w:rPr>
          <w:rFonts w:eastAsia="Calibri" w:cstheme="minorHAnsi"/>
        </w:rPr>
        <w:t xml:space="preserve">As each </w:t>
      </w:r>
      <w:r w:rsidR="00D3199D" w:rsidRPr="009D08C5">
        <w:rPr>
          <w:rFonts w:eastAsia="Calibri" w:cstheme="minorHAnsi"/>
        </w:rPr>
        <w:t>group</w:t>
      </w:r>
      <w:r w:rsidRPr="009D08C5">
        <w:rPr>
          <w:rFonts w:eastAsia="Calibri" w:cstheme="minorHAnsi"/>
        </w:rPr>
        <w:t xml:space="preserve"> begins </w:t>
      </w:r>
      <w:r w:rsidR="00D3199D" w:rsidRPr="009D08C5">
        <w:rPr>
          <w:rFonts w:eastAsia="Calibri" w:cstheme="minorHAnsi"/>
        </w:rPr>
        <w:t>its</w:t>
      </w:r>
      <w:r w:rsidRPr="009D08C5">
        <w:rPr>
          <w:rFonts w:eastAsia="Calibri" w:cstheme="minorHAnsi"/>
        </w:rPr>
        <w:t xml:space="preserve"> discussion, i</w:t>
      </w:r>
      <w:r w:rsidR="00EE21C8" w:rsidRPr="009D08C5">
        <w:rPr>
          <w:rFonts w:eastAsia="Calibri" w:cstheme="minorHAnsi"/>
        </w:rPr>
        <w:t xml:space="preserve">t is the expectation that </w:t>
      </w:r>
      <w:r w:rsidRPr="009D08C5">
        <w:rPr>
          <w:rFonts w:eastAsia="Calibri" w:cstheme="minorHAnsi"/>
        </w:rPr>
        <w:t>each</w:t>
      </w:r>
      <w:r w:rsidR="00D3199D" w:rsidRPr="009D08C5">
        <w:rPr>
          <w:rFonts w:eastAsia="Calibri" w:cstheme="minorHAnsi"/>
        </w:rPr>
        <w:t xml:space="preserve"> of the </w:t>
      </w:r>
      <w:r w:rsidR="00C644FF" w:rsidRPr="009D08C5">
        <w:rPr>
          <w:rFonts w:eastAsia="Calibri" w:cstheme="minorHAnsi"/>
        </w:rPr>
        <w:t xml:space="preserve">ten </w:t>
      </w:r>
      <w:r w:rsidR="00D3199D" w:rsidRPr="009D08C5">
        <w:rPr>
          <w:rFonts w:eastAsia="Calibri" w:cstheme="minorHAnsi"/>
        </w:rPr>
        <w:t xml:space="preserve">breakout </w:t>
      </w:r>
      <w:r w:rsidRPr="009D08C5">
        <w:rPr>
          <w:rFonts w:eastAsia="Calibri" w:cstheme="minorHAnsi"/>
        </w:rPr>
        <w:t>table</w:t>
      </w:r>
      <w:r w:rsidR="00D3199D" w:rsidRPr="009D08C5">
        <w:rPr>
          <w:rFonts w:eastAsia="Calibri" w:cstheme="minorHAnsi"/>
        </w:rPr>
        <w:t>s</w:t>
      </w:r>
      <w:r w:rsidR="00EE21C8" w:rsidRPr="009D08C5">
        <w:rPr>
          <w:rFonts w:eastAsia="Calibri" w:cstheme="minorHAnsi"/>
        </w:rPr>
        <w:t xml:space="preserve"> will determine who will serve as a scribe</w:t>
      </w:r>
      <w:r w:rsidRPr="009D08C5">
        <w:rPr>
          <w:rFonts w:eastAsia="Calibri" w:cstheme="minorHAnsi"/>
        </w:rPr>
        <w:t xml:space="preserve"> and </w:t>
      </w:r>
      <w:r w:rsidR="00EE21C8" w:rsidRPr="009D08C5">
        <w:rPr>
          <w:rFonts w:eastAsia="Calibri" w:cstheme="minorHAnsi"/>
        </w:rPr>
        <w:t xml:space="preserve">who will report to the larger group the findings of </w:t>
      </w:r>
      <w:r w:rsidR="0045790E" w:rsidRPr="009D08C5">
        <w:rPr>
          <w:rFonts w:eastAsia="Calibri" w:cstheme="minorHAnsi"/>
        </w:rPr>
        <w:t>specific</w:t>
      </w:r>
      <w:r w:rsidR="00EE21C8" w:rsidRPr="009D08C5">
        <w:rPr>
          <w:rFonts w:eastAsia="Calibri" w:cstheme="minorHAnsi"/>
        </w:rPr>
        <w:t xml:space="preserve"> </w:t>
      </w:r>
      <w:r w:rsidRPr="009D08C5">
        <w:rPr>
          <w:rFonts w:eastAsia="Calibri" w:cstheme="minorHAnsi"/>
        </w:rPr>
        <w:t>questions</w:t>
      </w:r>
      <w:r w:rsidR="0045790E" w:rsidRPr="009D08C5">
        <w:rPr>
          <w:rFonts w:eastAsia="Calibri" w:cstheme="minorHAnsi"/>
        </w:rPr>
        <w:t xml:space="preserve">. </w:t>
      </w:r>
      <w:r w:rsidRPr="009D08C5">
        <w:rPr>
          <w:rFonts w:eastAsia="Calibri" w:cstheme="minorHAnsi"/>
        </w:rPr>
        <w:t>Not all partners around the table will have similar demographics or experience, but all partners</w:t>
      </w:r>
      <w:r w:rsidR="00EE666B" w:rsidRPr="009D08C5">
        <w:rPr>
          <w:rFonts w:eastAsia="Calibri" w:cstheme="minorHAnsi"/>
        </w:rPr>
        <w:t>’</w:t>
      </w:r>
      <w:r w:rsidRPr="009D08C5">
        <w:rPr>
          <w:rFonts w:eastAsia="Calibri" w:cstheme="minorHAnsi"/>
        </w:rPr>
        <w:t xml:space="preserve"> </w:t>
      </w:r>
      <w:r w:rsidR="00C644FF" w:rsidRPr="009D08C5">
        <w:rPr>
          <w:rFonts w:eastAsia="Calibri" w:cstheme="minorHAnsi"/>
        </w:rPr>
        <w:t>contributions</w:t>
      </w:r>
      <w:r w:rsidRPr="009D08C5">
        <w:rPr>
          <w:rFonts w:eastAsia="Calibri" w:cstheme="minorHAnsi"/>
        </w:rPr>
        <w:t xml:space="preserve"> will be valuable to the discussion</w:t>
      </w:r>
      <w:r w:rsidR="00C644FF" w:rsidRPr="009D08C5">
        <w:rPr>
          <w:rFonts w:eastAsia="Calibri" w:cstheme="minorHAnsi"/>
        </w:rPr>
        <w:t>.</w:t>
      </w:r>
    </w:p>
    <w:p w:rsidR="0045790E" w:rsidRPr="009D08C5" w:rsidRDefault="0045790E" w:rsidP="00EE666B">
      <w:pPr>
        <w:spacing w:after="160" w:line="259" w:lineRule="auto"/>
        <w:rPr>
          <w:rFonts w:eastAsia="Calibri" w:cstheme="minorHAnsi"/>
        </w:rPr>
      </w:pPr>
      <w:r w:rsidRPr="009D08C5">
        <w:rPr>
          <w:rFonts w:eastAsia="Calibri" w:cstheme="minorHAnsi"/>
        </w:rPr>
        <w:t xml:space="preserve">Based on the specific capabilities </w:t>
      </w:r>
      <w:r w:rsidR="00C644FF" w:rsidRPr="009D08C5">
        <w:rPr>
          <w:rFonts w:eastAsia="Calibri" w:cstheme="minorHAnsi"/>
        </w:rPr>
        <w:t xml:space="preserve">and activities noted in this </w:t>
      </w:r>
      <w:proofErr w:type="spellStart"/>
      <w:r w:rsidR="00C644FF" w:rsidRPr="009D08C5">
        <w:rPr>
          <w:rFonts w:eastAsia="Calibri" w:cstheme="minorHAnsi"/>
        </w:rPr>
        <w:t>SitMan</w:t>
      </w:r>
      <w:proofErr w:type="spellEnd"/>
      <w:r w:rsidRPr="009D08C5">
        <w:rPr>
          <w:rFonts w:eastAsia="Calibri" w:cstheme="minorHAnsi"/>
        </w:rPr>
        <w:t xml:space="preserve">, participants are to report to the larger group: </w:t>
      </w:r>
    </w:p>
    <w:p w:rsidR="0045790E" w:rsidRPr="009D08C5" w:rsidRDefault="0045790E" w:rsidP="00AF4295">
      <w:pPr>
        <w:pStyle w:val="ListParagraph"/>
        <w:numPr>
          <w:ilvl w:val="0"/>
          <w:numId w:val="3"/>
        </w:numPr>
        <w:spacing w:after="160" w:line="259" w:lineRule="auto"/>
        <w:rPr>
          <w:rFonts w:eastAsia="Calibri" w:cstheme="minorHAnsi"/>
        </w:rPr>
      </w:pPr>
      <w:r w:rsidRPr="009D08C5">
        <w:rPr>
          <w:rFonts w:eastAsia="Calibri" w:cstheme="minorHAnsi"/>
        </w:rPr>
        <w:t>Identify strengths</w:t>
      </w:r>
      <w:r w:rsidR="00EE666B" w:rsidRPr="009D08C5">
        <w:rPr>
          <w:rFonts w:eastAsia="Calibri" w:cstheme="minorHAnsi"/>
        </w:rPr>
        <w:t xml:space="preserve"> within current plans</w:t>
      </w:r>
      <w:r w:rsidRPr="009D08C5">
        <w:rPr>
          <w:rFonts w:eastAsia="Calibri" w:cstheme="minorHAnsi"/>
        </w:rPr>
        <w:t xml:space="preserve"> </w:t>
      </w:r>
      <w:r w:rsidR="004A2A08" w:rsidRPr="009D08C5">
        <w:rPr>
          <w:rFonts w:eastAsia="Calibri" w:cstheme="minorHAnsi"/>
        </w:rPr>
        <w:t xml:space="preserve">that could translate into </w:t>
      </w:r>
      <w:r w:rsidRPr="009D08C5">
        <w:rPr>
          <w:rFonts w:eastAsia="Calibri" w:cstheme="minorHAnsi"/>
        </w:rPr>
        <w:t>extended response planning</w:t>
      </w:r>
      <w:r w:rsidR="004A2A08" w:rsidRPr="009D08C5">
        <w:rPr>
          <w:rFonts w:eastAsia="Calibri" w:cstheme="minorHAnsi"/>
        </w:rPr>
        <w:t>.</w:t>
      </w:r>
    </w:p>
    <w:p w:rsidR="0045790E" w:rsidRPr="009D08C5" w:rsidRDefault="00EE666B" w:rsidP="00AF4295">
      <w:pPr>
        <w:pStyle w:val="ListParagraph"/>
        <w:numPr>
          <w:ilvl w:val="0"/>
          <w:numId w:val="3"/>
        </w:numPr>
        <w:spacing w:after="160" w:line="259" w:lineRule="auto"/>
        <w:rPr>
          <w:rFonts w:eastAsia="Calibri" w:cstheme="minorHAnsi"/>
        </w:rPr>
      </w:pPr>
      <w:r w:rsidRPr="009D08C5">
        <w:rPr>
          <w:rFonts w:eastAsia="Calibri" w:cstheme="minorHAnsi"/>
        </w:rPr>
        <w:t>Identified</w:t>
      </w:r>
      <w:r w:rsidR="0045790E" w:rsidRPr="009D08C5">
        <w:rPr>
          <w:rFonts w:eastAsia="Calibri" w:cstheme="minorHAnsi"/>
        </w:rPr>
        <w:t xml:space="preserve"> planning considerations for inclusion within existing </w:t>
      </w:r>
      <w:r w:rsidR="00C644FF" w:rsidRPr="009D08C5">
        <w:rPr>
          <w:rFonts w:eastAsia="Calibri" w:cstheme="minorHAnsi"/>
        </w:rPr>
        <w:t>SNS</w:t>
      </w:r>
      <w:r w:rsidR="0045790E" w:rsidRPr="009D08C5">
        <w:rPr>
          <w:rFonts w:eastAsia="Calibri" w:cstheme="minorHAnsi"/>
        </w:rPr>
        <w:t xml:space="preserve">, </w:t>
      </w:r>
      <w:r w:rsidR="00C644FF" w:rsidRPr="009D08C5">
        <w:rPr>
          <w:rFonts w:eastAsia="Calibri" w:cstheme="minorHAnsi"/>
        </w:rPr>
        <w:t>pandemic influenza</w:t>
      </w:r>
      <w:r w:rsidR="0045790E" w:rsidRPr="009D08C5">
        <w:rPr>
          <w:rFonts w:eastAsia="Calibri" w:cstheme="minorHAnsi"/>
        </w:rPr>
        <w:t xml:space="preserve">, and </w:t>
      </w:r>
      <w:r w:rsidR="00C644FF" w:rsidRPr="009D08C5">
        <w:rPr>
          <w:rFonts w:eastAsia="Calibri" w:cstheme="minorHAnsi"/>
        </w:rPr>
        <w:t>mass vaccination plans</w:t>
      </w:r>
      <w:r w:rsidR="0045790E" w:rsidRPr="009D08C5">
        <w:rPr>
          <w:rFonts w:eastAsia="Calibri" w:cstheme="minorHAnsi"/>
        </w:rPr>
        <w:t>.</w:t>
      </w:r>
    </w:p>
    <w:p w:rsidR="00E44562" w:rsidRPr="009D08C5" w:rsidRDefault="0045790E" w:rsidP="00AF4295">
      <w:pPr>
        <w:pStyle w:val="ListParagraph"/>
        <w:numPr>
          <w:ilvl w:val="0"/>
          <w:numId w:val="3"/>
        </w:numPr>
        <w:spacing w:after="160" w:line="259" w:lineRule="auto"/>
        <w:rPr>
          <w:rFonts w:eastAsia="Calibri" w:cstheme="minorHAnsi"/>
        </w:rPr>
      </w:pPr>
      <w:r w:rsidRPr="009D08C5">
        <w:rPr>
          <w:rFonts w:eastAsia="Calibri" w:cstheme="minorHAnsi"/>
        </w:rPr>
        <w:t>Discuss</w:t>
      </w:r>
      <w:r w:rsidR="00EE666B" w:rsidRPr="009D08C5">
        <w:rPr>
          <w:rFonts w:eastAsia="Calibri" w:cstheme="minorHAnsi"/>
        </w:rPr>
        <w:t xml:space="preserve"> planning gaps that require further discussion</w:t>
      </w:r>
      <w:r w:rsidRPr="009D08C5">
        <w:rPr>
          <w:rFonts w:eastAsia="Calibri" w:cstheme="minorHAnsi"/>
        </w:rPr>
        <w:t>.</w:t>
      </w:r>
    </w:p>
    <w:p w:rsidR="001E5F28" w:rsidRPr="00EE666B" w:rsidRDefault="001E5F28" w:rsidP="00EE666B">
      <w:pPr>
        <w:tabs>
          <w:tab w:val="left" w:pos="6375"/>
        </w:tabs>
        <w:jc w:val="center"/>
        <w:rPr>
          <w:rFonts w:ascii="Calibri" w:eastAsia="Calibri" w:hAnsi="Calibri" w:cs="Times New Roman"/>
        </w:rPr>
        <w:sectPr w:rsidR="001E5F28" w:rsidRPr="00EE666B" w:rsidSect="009D08C5">
          <w:pgSz w:w="12240" w:h="15840"/>
          <w:pgMar w:top="720" w:right="1350" w:bottom="720" w:left="1530" w:header="720" w:footer="720" w:gutter="0"/>
          <w:cols w:space="720"/>
          <w:docGrid w:linePitch="360"/>
        </w:sectPr>
      </w:pPr>
    </w:p>
    <w:p w:rsidR="00845362" w:rsidRDefault="00845362" w:rsidP="00845362">
      <w:pPr>
        <w:pStyle w:val="Title"/>
      </w:pPr>
      <w:r>
        <w:rPr>
          <w:sz w:val="44"/>
          <w:szCs w:val="44"/>
        </w:rPr>
        <w:t>Exercise Objectives</w:t>
      </w:r>
    </w:p>
    <w:p w:rsidR="00845362" w:rsidRDefault="00845362" w:rsidP="009D08C5">
      <w:r>
        <w:t xml:space="preserve">The workshop planning team selected objectives that focus on evaluating emergency response plans, identifying areas for improvement, and achieving a collaborative attitude. Objectives were created and built upon previous improvement items identified in the BP4 Medical Countermeasure (MCM) Operational Readiness Review (ORR) tool. The workshop will serve to have the following objectives: </w:t>
      </w:r>
    </w:p>
    <w:p w:rsidR="00845362" w:rsidRPr="00845362" w:rsidRDefault="00845362" w:rsidP="009D08C5">
      <w:pPr>
        <w:pStyle w:val="ListParagraph"/>
        <w:numPr>
          <w:ilvl w:val="0"/>
          <w:numId w:val="28"/>
        </w:numPr>
        <w:rPr>
          <w:rFonts w:eastAsia="Times New Roman" w:cs="Arial"/>
        </w:rPr>
      </w:pPr>
      <w:r w:rsidRPr="001F6256">
        <w:t xml:space="preserve">Assess the impact that a prolonged incident may place on existing plans and procedures. </w:t>
      </w:r>
    </w:p>
    <w:p w:rsidR="00845362" w:rsidRPr="00845362" w:rsidRDefault="00845362" w:rsidP="009D08C5">
      <w:pPr>
        <w:pStyle w:val="ListParagraph"/>
        <w:numPr>
          <w:ilvl w:val="0"/>
          <w:numId w:val="28"/>
        </w:numPr>
        <w:rPr>
          <w:rFonts w:eastAsia="Times New Roman" w:cs="Arial"/>
        </w:rPr>
      </w:pPr>
      <w:r w:rsidRPr="001F6256">
        <w:t>Determine long-term public health service delivery sustainment during a mass dispensing campaign.</w:t>
      </w:r>
    </w:p>
    <w:p w:rsidR="00845362" w:rsidRPr="009D08C5" w:rsidRDefault="00845362" w:rsidP="009D08C5">
      <w:pPr>
        <w:pStyle w:val="ListParagraph"/>
        <w:numPr>
          <w:ilvl w:val="0"/>
          <w:numId w:val="28"/>
        </w:numPr>
        <w:rPr>
          <w:rFonts w:eastAsia="Times New Roman" w:cs="Arial"/>
        </w:rPr>
      </w:pPr>
      <w:r w:rsidRPr="009D08C5">
        <w:rPr>
          <w:rFonts w:eastAsia="Times New Roman" w:cs="Arial"/>
        </w:rPr>
        <w:t>Determine the process for implementing emergency risk communications.</w:t>
      </w:r>
    </w:p>
    <w:p w:rsidR="00845362" w:rsidRPr="009D08C5" w:rsidRDefault="00845362" w:rsidP="009D08C5">
      <w:pPr>
        <w:pStyle w:val="ListParagraph"/>
        <w:numPr>
          <w:ilvl w:val="0"/>
          <w:numId w:val="28"/>
        </w:numPr>
        <w:rPr>
          <w:rFonts w:eastAsia="Times New Roman" w:cs="Arial"/>
        </w:rPr>
      </w:pPr>
      <w:r w:rsidRPr="009D08C5">
        <w:rPr>
          <w:rFonts w:eastAsia="Times New Roman" w:cs="Arial"/>
        </w:rPr>
        <w:t xml:space="preserve">Evaluate existing plans and procedures in place for medical countermeasure long-term distribution and storage. </w:t>
      </w:r>
    </w:p>
    <w:p w:rsidR="00845362" w:rsidRPr="009D08C5" w:rsidRDefault="00845362" w:rsidP="009D08C5">
      <w:pPr>
        <w:pStyle w:val="ListParagraph"/>
        <w:numPr>
          <w:ilvl w:val="0"/>
          <w:numId w:val="28"/>
        </w:numPr>
        <w:rPr>
          <w:rFonts w:eastAsia="Times New Roman" w:cs="Arial"/>
        </w:rPr>
      </w:pPr>
      <w:r w:rsidRPr="009D08C5">
        <w:rPr>
          <w:rFonts w:eastAsia="Times New Roman" w:cs="Arial"/>
        </w:rPr>
        <w:t>Determine the ability to create, maintain, support and strengthen a routine process to share information with response partners.</w:t>
      </w:r>
    </w:p>
    <w:p w:rsidR="00845362" w:rsidRDefault="00845362" w:rsidP="00845362">
      <w:pPr>
        <w:pStyle w:val="ListParagraph"/>
        <w:numPr>
          <w:ilvl w:val="0"/>
          <w:numId w:val="28"/>
        </w:numPr>
        <w:rPr>
          <w:rFonts w:eastAsia="Times New Roman" w:cs="Arial"/>
        </w:rPr>
      </w:pPr>
      <w:r w:rsidRPr="009D08C5">
        <w:rPr>
          <w:rFonts w:eastAsia="Times New Roman" w:cs="Arial"/>
        </w:rPr>
        <w:t>Discuss staffing requirements to support jurisdictional needs during a long-term medical countermeasure campaign.</w:t>
      </w:r>
    </w:p>
    <w:p w:rsidR="00845362" w:rsidRDefault="00845362" w:rsidP="00845362">
      <w:pPr>
        <w:rPr>
          <w:rFonts w:cstheme="minorHAnsi"/>
          <w:bCs/>
          <w:color w:val="000000"/>
        </w:rPr>
      </w:pPr>
      <w:r w:rsidRPr="009D08C5">
        <w:rPr>
          <w:rFonts w:eastAsia="Times New Roman" w:cs="Arial"/>
          <w:b/>
        </w:rPr>
        <w:t>Community Preparedness</w:t>
      </w:r>
      <w:r w:rsidR="00004A04" w:rsidRPr="000B6287">
        <w:rPr>
          <w:rFonts w:eastAsia="Times New Roman" w:cs="Arial"/>
          <w:b/>
        </w:rPr>
        <w:t xml:space="preserve"> – </w:t>
      </w:r>
      <w:r w:rsidRPr="009D08C5">
        <w:rPr>
          <w:rFonts w:cstheme="minorHAnsi"/>
          <w:bCs/>
          <w:color w:val="000000"/>
        </w:rPr>
        <w:t>The ability of communities to prepare for, withstand, and recover — in both the short and long terms — from public health incidents</w:t>
      </w:r>
      <w:r w:rsidRPr="009D08C5">
        <w:rPr>
          <w:rFonts w:cstheme="minorHAnsi"/>
          <w:color w:val="000000"/>
        </w:rPr>
        <w:t xml:space="preserve"> </w:t>
      </w:r>
      <w:r w:rsidR="00004A04" w:rsidRPr="000B6287">
        <w:rPr>
          <w:rFonts w:cstheme="minorHAnsi"/>
          <w:bCs/>
          <w:color w:val="000000"/>
        </w:rPr>
        <w:t>b</w:t>
      </w:r>
      <w:r w:rsidRPr="009D08C5">
        <w:rPr>
          <w:rFonts w:cstheme="minorHAnsi"/>
          <w:bCs/>
          <w:color w:val="000000"/>
        </w:rPr>
        <w:t>y engaging and coordinating with emergency management, healthcare organizations (private and community-based), mental/behavioral health providers, community and faith-based partners, state, local, and territorial</w:t>
      </w:r>
      <w:r w:rsidR="00004A04" w:rsidRPr="000B6287">
        <w:rPr>
          <w:rFonts w:cstheme="minorHAnsi"/>
          <w:bCs/>
          <w:color w:val="000000"/>
        </w:rPr>
        <w:t xml:space="preserve"> partners.</w:t>
      </w:r>
    </w:p>
    <w:p w:rsidR="000B6287" w:rsidRDefault="00B95A81" w:rsidP="000B6287">
      <w:pPr>
        <w:pStyle w:val="ListParagraph"/>
        <w:numPr>
          <w:ilvl w:val="0"/>
          <w:numId w:val="30"/>
        </w:numPr>
        <w:rPr>
          <w:rFonts w:eastAsia="Times New Roman" w:cs="Arial"/>
          <w:b/>
        </w:rPr>
      </w:pPr>
      <w:r>
        <w:rPr>
          <w:rFonts w:eastAsia="Times New Roman" w:cs="Arial"/>
          <w:b/>
        </w:rPr>
        <w:t>Activity</w:t>
      </w:r>
      <w:r w:rsidR="000B6287">
        <w:rPr>
          <w:rFonts w:eastAsia="Times New Roman" w:cs="Arial"/>
          <w:b/>
        </w:rPr>
        <w:t xml:space="preserve"> 1.1</w:t>
      </w:r>
      <w:r w:rsidR="003C03CF">
        <w:rPr>
          <w:rFonts w:eastAsia="Times New Roman" w:cs="Arial"/>
          <w:b/>
        </w:rPr>
        <w:t xml:space="preserve"> – </w:t>
      </w:r>
      <w:r w:rsidR="003C03CF" w:rsidRPr="009D08C5">
        <w:rPr>
          <w:rFonts w:eastAsia="Times New Roman" w:cs="Arial"/>
        </w:rPr>
        <w:t>Delineate response roles for local, state and federal partners.</w:t>
      </w:r>
    </w:p>
    <w:p w:rsidR="000B6287" w:rsidRDefault="00B95A81" w:rsidP="000B6287">
      <w:pPr>
        <w:pStyle w:val="ListParagraph"/>
        <w:numPr>
          <w:ilvl w:val="0"/>
          <w:numId w:val="30"/>
        </w:numPr>
        <w:rPr>
          <w:rFonts w:eastAsia="Times New Roman" w:cs="Arial"/>
          <w:b/>
        </w:rPr>
      </w:pPr>
      <w:r>
        <w:rPr>
          <w:rFonts w:eastAsia="Times New Roman" w:cs="Arial"/>
          <w:b/>
        </w:rPr>
        <w:t>Activity</w:t>
      </w:r>
      <w:r w:rsidR="000B6287">
        <w:rPr>
          <w:rFonts w:eastAsia="Times New Roman" w:cs="Arial"/>
          <w:b/>
        </w:rPr>
        <w:t xml:space="preserve"> 1.2</w:t>
      </w:r>
      <w:r>
        <w:rPr>
          <w:rFonts w:eastAsia="Times New Roman" w:cs="Arial"/>
          <w:b/>
        </w:rPr>
        <w:t xml:space="preserve"> – </w:t>
      </w:r>
      <w:r w:rsidRPr="009D08C5">
        <w:rPr>
          <w:rFonts w:eastAsia="Times New Roman" w:cs="Arial"/>
        </w:rPr>
        <w:t>Identify strategies for follow up care/treatment for populations with access and functional needs.</w:t>
      </w:r>
    </w:p>
    <w:p w:rsidR="000B6287" w:rsidRPr="009D08C5" w:rsidRDefault="00B95A81" w:rsidP="009D08C5">
      <w:pPr>
        <w:pStyle w:val="ListParagraph"/>
        <w:numPr>
          <w:ilvl w:val="0"/>
          <w:numId w:val="30"/>
        </w:numPr>
        <w:rPr>
          <w:rFonts w:eastAsia="Times New Roman" w:cs="Arial"/>
          <w:b/>
        </w:rPr>
      </w:pPr>
      <w:r>
        <w:rPr>
          <w:rFonts w:eastAsia="Times New Roman" w:cs="Arial"/>
          <w:b/>
        </w:rPr>
        <w:t>Activity</w:t>
      </w:r>
      <w:r w:rsidR="000B6287">
        <w:rPr>
          <w:rFonts w:eastAsia="Times New Roman" w:cs="Arial"/>
          <w:b/>
        </w:rPr>
        <w:t xml:space="preserve"> 1.3</w:t>
      </w:r>
      <w:r>
        <w:rPr>
          <w:rFonts w:eastAsia="Times New Roman" w:cs="Arial"/>
          <w:b/>
        </w:rPr>
        <w:t xml:space="preserve"> – </w:t>
      </w:r>
      <w:r w:rsidRPr="009D08C5">
        <w:rPr>
          <w:rFonts w:eastAsia="Times New Roman" w:cs="Arial"/>
        </w:rPr>
        <w:t>Identify potential strategies for coordinating vaccine administration with closed POD partners.</w:t>
      </w:r>
    </w:p>
    <w:p w:rsidR="00845362" w:rsidRDefault="00004A04" w:rsidP="00004A04">
      <w:pPr>
        <w:rPr>
          <w:rStyle w:val="A4"/>
          <w:b w:val="0"/>
        </w:rPr>
      </w:pPr>
      <w:r w:rsidRPr="000B6287">
        <w:rPr>
          <w:rFonts w:eastAsia="Times New Roman" w:cs="Arial"/>
          <w:b/>
        </w:rPr>
        <w:t xml:space="preserve">Emergency Operations Coordination – </w:t>
      </w:r>
      <w:r w:rsidRPr="000B6287">
        <w:rPr>
          <w:rStyle w:val="A4"/>
          <w:b w:val="0"/>
        </w:rPr>
        <w:t>T</w:t>
      </w:r>
      <w:r w:rsidRPr="009D08C5">
        <w:rPr>
          <w:rStyle w:val="A4"/>
          <w:b w:val="0"/>
        </w:rPr>
        <w:t>he ability to direct and support an event</w:t>
      </w:r>
      <w:r w:rsidRPr="009D08C5">
        <w:rPr>
          <w:rStyle w:val="A10"/>
          <w:sz w:val="22"/>
          <w:szCs w:val="22"/>
        </w:rPr>
        <w:t xml:space="preserve"> </w:t>
      </w:r>
      <w:r w:rsidRPr="009D08C5">
        <w:rPr>
          <w:rStyle w:val="A4"/>
          <w:b w:val="0"/>
        </w:rPr>
        <w:t>or incident</w:t>
      </w:r>
      <w:r w:rsidRPr="009D08C5">
        <w:rPr>
          <w:rStyle w:val="A10"/>
          <w:sz w:val="22"/>
          <w:szCs w:val="22"/>
        </w:rPr>
        <w:t xml:space="preserve"> </w:t>
      </w:r>
      <w:r w:rsidRPr="009D08C5">
        <w:rPr>
          <w:rStyle w:val="A4"/>
          <w:b w:val="0"/>
        </w:rPr>
        <w:t>with public health or medical implications by establishing a standardized, scalable system of oversight, organization, and supervision consistent with jurisdictional standards and practices and with the National Incident Management System.</w:t>
      </w:r>
    </w:p>
    <w:p w:rsidR="000B6287" w:rsidRDefault="00B95A81" w:rsidP="000B6287">
      <w:pPr>
        <w:pStyle w:val="ListParagraph"/>
        <w:numPr>
          <w:ilvl w:val="0"/>
          <w:numId w:val="31"/>
        </w:numPr>
        <w:rPr>
          <w:rStyle w:val="A4"/>
          <w:rFonts w:eastAsia="Times New Roman" w:cs="Arial"/>
          <w:bCs w:val="0"/>
          <w:color w:val="auto"/>
        </w:rPr>
      </w:pPr>
      <w:r>
        <w:rPr>
          <w:rStyle w:val="A4"/>
          <w:rFonts w:eastAsia="Times New Roman" w:cs="Arial"/>
          <w:bCs w:val="0"/>
          <w:color w:val="auto"/>
        </w:rPr>
        <w:t>Activity</w:t>
      </w:r>
      <w:r w:rsidR="000B6287">
        <w:rPr>
          <w:rStyle w:val="A4"/>
          <w:rFonts w:eastAsia="Times New Roman" w:cs="Arial"/>
          <w:bCs w:val="0"/>
          <w:color w:val="auto"/>
        </w:rPr>
        <w:t xml:space="preserve"> 2.1</w:t>
      </w:r>
      <w:r w:rsidR="003C03CF">
        <w:rPr>
          <w:rStyle w:val="A4"/>
          <w:rFonts w:eastAsia="Times New Roman" w:cs="Arial"/>
          <w:bCs w:val="0"/>
          <w:color w:val="auto"/>
        </w:rPr>
        <w:t xml:space="preserve"> – </w:t>
      </w:r>
      <w:r w:rsidR="003C03CF" w:rsidRPr="009D08C5">
        <w:rPr>
          <w:rStyle w:val="A4"/>
          <w:rFonts w:eastAsia="Times New Roman" w:cs="Arial"/>
          <w:b w:val="0"/>
          <w:bCs w:val="0"/>
          <w:color w:val="auto"/>
        </w:rPr>
        <w:t>Discuss the temporary suspension of non-essential health department operations during a sustained dispensing campaign.</w:t>
      </w:r>
    </w:p>
    <w:p w:rsidR="000B6287" w:rsidRDefault="00B95A81" w:rsidP="006934D1">
      <w:pPr>
        <w:pStyle w:val="ListParagraph"/>
        <w:numPr>
          <w:ilvl w:val="0"/>
          <w:numId w:val="31"/>
        </w:numPr>
        <w:rPr>
          <w:rStyle w:val="A4"/>
          <w:rFonts w:eastAsia="Times New Roman" w:cs="Arial"/>
          <w:bCs w:val="0"/>
          <w:color w:val="auto"/>
        </w:rPr>
      </w:pPr>
      <w:r>
        <w:rPr>
          <w:rStyle w:val="A4"/>
          <w:rFonts w:eastAsia="Times New Roman" w:cs="Arial"/>
          <w:bCs w:val="0"/>
          <w:color w:val="auto"/>
        </w:rPr>
        <w:t>Activity</w:t>
      </w:r>
      <w:r w:rsidR="000B6287">
        <w:rPr>
          <w:rStyle w:val="A4"/>
          <w:rFonts w:eastAsia="Times New Roman" w:cs="Arial"/>
          <w:bCs w:val="0"/>
          <w:color w:val="auto"/>
        </w:rPr>
        <w:t xml:space="preserve"> 2.2 </w:t>
      </w:r>
      <w:r w:rsidR="006934D1">
        <w:rPr>
          <w:rStyle w:val="A4"/>
          <w:rFonts w:eastAsia="Times New Roman" w:cs="Arial"/>
          <w:bCs w:val="0"/>
          <w:color w:val="auto"/>
        </w:rPr>
        <w:t xml:space="preserve">– </w:t>
      </w:r>
      <w:r w:rsidR="006934D1" w:rsidRPr="009D08C5">
        <w:rPr>
          <w:rStyle w:val="A4"/>
          <w:rFonts w:eastAsia="Times New Roman" w:cs="Arial"/>
          <w:b w:val="0"/>
          <w:bCs w:val="0"/>
          <w:color w:val="auto"/>
        </w:rPr>
        <w:t>Staff/volunteer augmentation for large scale and extended operations, to include recruitment of pharmacy and/or healthcare providers.</w:t>
      </w:r>
    </w:p>
    <w:p w:rsidR="00FC48AD" w:rsidRPr="009D08C5" w:rsidRDefault="00B95A81" w:rsidP="009D08C5">
      <w:pPr>
        <w:pStyle w:val="ListParagraph"/>
        <w:numPr>
          <w:ilvl w:val="0"/>
          <w:numId w:val="31"/>
        </w:numPr>
        <w:rPr>
          <w:rStyle w:val="A4"/>
          <w:rFonts w:eastAsia="Times New Roman" w:cs="Arial"/>
          <w:bCs w:val="0"/>
          <w:color w:val="auto"/>
        </w:rPr>
      </w:pPr>
      <w:r>
        <w:rPr>
          <w:rStyle w:val="A4"/>
          <w:rFonts w:eastAsia="Times New Roman" w:cs="Arial"/>
          <w:bCs w:val="0"/>
          <w:color w:val="auto"/>
        </w:rPr>
        <w:t>Activity</w:t>
      </w:r>
      <w:r w:rsidR="000B6287">
        <w:rPr>
          <w:rStyle w:val="A4"/>
          <w:rFonts w:eastAsia="Times New Roman" w:cs="Arial"/>
          <w:bCs w:val="0"/>
          <w:color w:val="auto"/>
        </w:rPr>
        <w:t xml:space="preserve"> 2.3</w:t>
      </w:r>
      <w:r w:rsidR="00FC48AD">
        <w:rPr>
          <w:rStyle w:val="A4"/>
          <w:rFonts w:eastAsia="Times New Roman" w:cs="Arial"/>
          <w:bCs w:val="0"/>
          <w:color w:val="auto"/>
        </w:rPr>
        <w:t xml:space="preserve"> – </w:t>
      </w:r>
      <w:r w:rsidR="00FC48AD" w:rsidRPr="009D08C5">
        <w:rPr>
          <w:rStyle w:val="A4"/>
          <w:rFonts w:eastAsia="Times New Roman" w:cs="Arial"/>
          <w:b w:val="0"/>
          <w:bCs w:val="0"/>
          <w:color w:val="auto"/>
        </w:rPr>
        <w:t>Discuss administrative preparedness procedures for hiring of healthcare contractors (IE: Nursing agencies, Private EMT's, Medics, Healthcare workers).</w:t>
      </w:r>
    </w:p>
    <w:p w:rsidR="00004A04" w:rsidRDefault="00004A04" w:rsidP="00845362">
      <w:pPr>
        <w:tabs>
          <w:tab w:val="left" w:pos="3255"/>
        </w:tabs>
        <w:rPr>
          <w:rStyle w:val="A4"/>
          <w:b w:val="0"/>
        </w:rPr>
      </w:pPr>
      <w:r w:rsidRPr="009D08C5">
        <w:rPr>
          <w:b/>
        </w:rPr>
        <w:t>Emergency Public Information and Warning</w:t>
      </w:r>
      <w:r w:rsidRPr="000B6287">
        <w:rPr>
          <w:b/>
        </w:rPr>
        <w:t xml:space="preserve"> –</w:t>
      </w:r>
      <w:r w:rsidRPr="000B6287">
        <w:rPr>
          <w:rStyle w:val="A4"/>
          <w:b w:val="0"/>
        </w:rPr>
        <w:t xml:space="preserve"> T</w:t>
      </w:r>
      <w:r w:rsidRPr="009D08C5">
        <w:rPr>
          <w:rStyle w:val="A4"/>
          <w:b w:val="0"/>
        </w:rPr>
        <w:t>he ability to develop, coordinate, and disseminate information, alerts, warnings, and notifications to the public and incident management responders.</w:t>
      </w:r>
    </w:p>
    <w:p w:rsidR="000B6287" w:rsidRDefault="00B95A81" w:rsidP="000B6287">
      <w:pPr>
        <w:pStyle w:val="ListParagraph"/>
        <w:numPr>
          <w:ilvl w:val="0"/>
          <w:numId w:val="32"/>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3.1</w:t>
      </w:r>
      <w:r w:rsidR="00FC48AD">
        <w:rPr>
          <w:rStyle w:val="A4"/>
          <w:rFonts w:cstheme="minorBidi"/>
          <w:bCs w:val="0"/>
          <w:color w:val="auto"/>
        </w:rPr>
        <w:t xml:space="preserve"> – </w:t>
      </w:r>
      <w:r w:rsidR="00FC48AD" w:rsidRPr="009D08C5">
        <w:rPr>
          <w:rStyle w:val="A4"/>
          <w:rFonts w:cstheme="minorBidi"/>
          <w:b w:val="0"/>
          <w:bCs w:val="0"/>
          <w:color w:val="auto"/>
        </w:rPr>
        <w:t xml:space="preserve">Discuss </w:t>
      </w:r>
      <w:r w:rsidR="006D3E4B" w:rsidRPr="009D08C5">
        <w:rPr>
          <w:rStyle w:val="A4"/>
          <w:rFonts w:cstheme="minorBidi"/>
          <w:b w:val="0"/>
          <w:bCs w:val="0"/>
          <w:color w:val="auto"/>
        </w:rPr>
        <w:t>public information needs of the public and distribution methods of materials related to a long-term dispensing campaign.</w:t>
      </w:r>
    </w:p>
    <w:p w:rsidR="000B6287" w:rsidRDefault="00B95A81" w:rsidP="000B6287">
      <w:pPr>
        <w:pStyle w:val="ListParagraph"/>
        <w:numPr>
          <w:ilvl w:val="0"/>
          <w:numId w:val="32"/>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3.2</w:t>
      </w:r>
      <w:r w:rsidR="006D3E4B">
        <w:rPr>
          <w:rStyle w:val="A4"/>
          <w:rFonts w:cstheme="minorBidi"/>
          <w:bCs w:val="0"/>
          <w:color w:val="auto"/>
        </w:rPr>
        <w:t xml:space="preserve"> – </w:t>
      </w:r>
      <w:r w:rsidR="006D3E4B" w:rsidRPr="009D08C5">
        <w:rPr>
          <w:rStyle w:val="A4"/>
          <w:rFonts w:cstheme="minorBidi"/>
          <w:b w:val="0"/>
          <w:bCs w:val="0"/>
          <w:color w:val="auto"/>
        </w:rPr>
        <w:t>Identify strategies for targeted communication to at-risk or impacted populations.</w:t>
      </w:r>
    </w:p>
    <w:p w:rsidR="00004A04" w:rsidRDefault="00004A04" w:rsidP="00845362">
      <w:pPr>
        <w:tabs>
          <w:tab w:val="left" w:pos="3255"/>
        </w:tabs>
        <w:rPr>
          <w:rStyle w:val="A4"/>
          <w:b w:val="0"/>
        </w:rPr>
      </w:pPr>
      <w:r w:rsidRPr="009D08C5">
        <w:rPr>
          <w:b/>
        </w:rPr>
        <w:t>Information Sharing</w:t>
      </w:r>
      <w:r w:rsidR="000B6287" w:rsidRPr="000B6287">
        <w:rPr>
          <w:b/>
        </w:rPr>
        <w:t xml:space="preserve"> – </w:t>
      </w:r>
      <w:r w:rsidR="000B6287" w:rsidRPr="000B6287">
        <w:rPr>
          <w:rStyle w:val="A4"/>
          <w:b w:val="0"/>
        </w:rPr>
        <w:t>T</w:t>
      </w:r>
      <w:r w:rsidRPr="009D08C5">
        <w:rPr>
          <w:rStyle w:val="A4"/>
          <w:b w:val="0"/>
        </w:rPr>
        <w:t>he ability to conduct multijurisdictional, multidisciplinary exchange of health-related information and situational awareness data among federal, state, local, territorial, and tribal levels of government, and the private sector. This capability includes the routine sharing of information as well as issuing of public health alerts</w:t>
      </w:r>
      <w:r w:rsidRPr="009D08C5">
        <w:rPr>
          <w:rStyle w:val="A10"/>
          <w:sz w:val="22"/>
          <w:szCs w:val="22"/>
        </w:rPr>
        <w:t xml:space="preserve"> </w:t>
      </w:r>
      <w:r w:rsidRPr="009D08C5">
        <w:rPr>
          <w:rStyle w:val="A4"/>
          <w:b w:val="0"/>
        </w:rPr>
        <w:t>to federal, state, local, territorial, and tribal levels of government and the private sector in preparation for, and in response to, events</w:t>
      </w:r>
      <w:r w:rsidR="000B6287" w:rsidRPr="000B6287">
        <w:rPr>
          <w:rStyle w:val="A10"/>
          <w:sz w:val="22"/>
          <w:szCs w:val="22"/>
        </w:rPr>
        <w:t xml:space="preserve"> </w:t>
      </w:r>
      <w:r w:rsidRPr="009D08C5">
        <w:rPr>
          <w:rStyle w:val="A4"/>
          <w:b w:val="0"/>
        </w:rPr>
        <w:t>or incidents</w:t>
      </w:r>
      <w:r w:rsidRPr="009D08C5">
        <w:rPr>
          <w:rStyle w:val="A10"/>
          <w:sz w:val="22"/>
          <w:szCs w:val="22"/>
        </w:rPr>
        <w:t xml:space="preserve"> </w:t>
      </w:r>
      <w:r w:rsidRPr="009D08C5">
        <w:rPr>
          <w:rStyle w:val="A4"/>
          <w:b w:val="0"/>
        </w:rPr>
        <w:t>of public health significance.</w:t>
      </w:r>
    </w:p>
    <w:p w:rsidR="000B6287" w:rsidRPr="009B155F" w:rsidRDefault="00B95A81">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4.1</w:t>
      </w:r>
      <w:r w:rsidR="009B155F">
        <w:rPr>
          <w:rStyle w:val="A4"/>
          <w:rFonts w:cstheme="minorBidi"/>
          <w:bCs w:val="0"/>
          <w:color w:val="auto"/>
        </w:rPr>
        <w:t xml:space="preserve"> – </w:t>
      </w:r>
      <w:r w:rsidR="009B155F" w:rsidRPr="003D4FAC">
        <w:rPr>
          <w:rStyle w:val="A4"/>
          <w:rFonts w:cstheme="minorBidi"/>
          <w:b w:val="0"/>
          <w:bCs w:val="0"/>
          <w:color w:val="auto"/>
        </w:rPr>
        <w:t>Identify mechanisms for increased screening of patients and tracking doses administered.</w:t>
      </w:r>
    </w:p>
    <w:p w:rsidR="00004A04" w:rsidRDefault="00004A04" w:rsidP="00845362">
      <w:pPr>
        <w:tabs>
          <w:tab w:val="left" w:pos="3255"/>
        </w:tabs>
        <w:rPr>
          <w:rStyle w:val="A4"/>
          <w:b w:val="0"/>
        </w:rPr>
      </w:pPr>
      <w:r w:rsidRPr="009D08C5">
        <w:rPr>
          <w:b/>
        </w:rPr>
        <w:t>Medical Countermeasure Dispensing</w:t>
      </w:r>
      <w:r w:rsidR="000B6287" w:rsidRPr="000B6287">
        <w:t xml:space="preserve"> – </w:t>
      </w:r>
      <w:r w:rsidR="000B6287" w:rsidRPr="009D08C5">
        <w:rPr>
          <w:rStyle w:val="A4"/>
          <w:b w:val="0"/>
        </w:rPr>
        <w:t>T</w:t>
      </w:r>
      <w:r w:rsidRPr="009D08C5">
        <w:rPr>
          <w:rStyle w:val="A4"/>
          <w:b w:val="0"/>
        </w:rPr>
        <w:t>he ability to provide medical countermeasures (including vaccines, antiviral drugs, antibiotics, antitoxin, etc.) in support of treatment or prophylaxis (oral or vaccination) to the identified population in accordance with public health guidelines and/or recommendations.</w:t>
      </w:r>
    </w:p>
    <w:p w:rsid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5.1</w:t>
      </w:r>
      <w:r w:rsidR="003C03CF">
        <w:rPr>
          <w:rStyle w:val="A4"/>
          <w:rFonts w:cstheme="minorBidi"/>
          <w:bCs w:val="0"/>
          <w:color w:val="auto"/>
        </w:rPr>
        <w:t xml:space="preserve"> – </w:t>
      </w:r>
      <w:r w:rsidR="003C03CF" w:rsidRPr="009D08C5">
        <w:rPr>
          <w:rStyle w:val="A4"/>
          <w:rFonts w:cstheme="minorBidi"/>
          <w:b w:val="0"/>
          <w:bCs w:val="0"/>
          <w:color w:val="auto"/>
        </w:rPr>
        <w:t>Determine possible considerations for the identification of priority groups to receive medical countermeasures should supplies be limited.</w:t>
      </w:r>
    </w:p>
    <w:p w:rsid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5.2</w:t>
      </w:r>
      <w:r w:rsidR="003C03CF">
        <w:rPr>
          <w:rStyle w:val="A4"/>
          <w:rFonts w:cstheme="minorBidi"/>
          <w:bCs w:val="0"/>
          <w:color w:val="auto"/>
        </w:rPr>
        <w:t xml:space="preserve"> – </w:t>
      </w:r>
      <w:r w:rsidR="003C03CF" w:rsidRPr="009D08C5">
        <w:rPr>
          <w:rStyle w:val="A4"/>
          <w:rFonts w:cstheme="minorBidi"/>
          <w:b w:val="0"/>
          <w:bCs w:val="0"/>
          <w:color w:val="auto"/>
        </w:rPr>
        <w:t>Discuss function of alternate dispensing modalities for long-term dispensing operations.</w:t>
      </w:r>
    </w:p>
    <w:p w:rsid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5.3</w:t>
      </w:r>
      <w:r w:rsidR="006934D1">
        <w:rPr>
          <w:rStyle w:val="A4"/>
          <w:rFonts w:cstheme="minorBidi"/>
          <w:bCs w:val="0"/>
          <w:color w:val="auto"/>
        </w:rPr>
        <w:t xml:space="preserve"> – </w:t>
      </w:r>
      <w:r w:rsidR="006934D1" w:rsidRPr="009D08C5">
        <w:rPr>
          <w:rStyle w:val="A4"/>
          <w:rFonts w:cstheme="minorBidi"/>
          <w:b w:val="0"/>
          <w:bCs w:val="0"/>
          <w:color w:val="auto"/>
        </w:rPr>
        <w:t>Discuss the potential long-term use of identified open POD locations, as well as identify strategies should facilities be unavailable for long-term operations.</w:t>
      </w:r>
    </w:p>
    <w:p w:rsidR="006934D1" w:rsidRPr="009D08C5" w:rsidRDefault="00B95A81" w:rsidP="000B6287">
      <w:pPr>
        <w:pStyle w:val="ListParagraph"/>
        <w:numPr>
          <w:ilvl w:val="0"/>
          <w:numId w:val="33"/>
        </w:numPr>
        <w:tabs>
          <w:tab w:val="left" w:pos="3255"/>
        </w:tabs>
        <w:rPr>
          <w:rStyle w:val="A4"/>
          <w:rFonts w:cstheme="minorBidi"/>
          <w:b w:val="0"/>
          <w:bCs w:val="0"/>
          <w:color w:val="auto"/>
        </w:rPr>
      </w:pPr>
      <w:r>
        <w:rPr>
          <w:rStyle w:val="A4"/>
          <w:rFonts w:cstheme="minorBidi"/>
          <w:bCs w:val="0"/>
          <w:color w:val="auto"/>
        </w:rPr>
        <w:t>Activity</w:t>
      </w:r>
      <w:r w:rsidR="006934D1">
        <w:rPr>
          <w:rStyle w:val="A4"/>
          <w:rFonts w:cstheme="minorBidi"/>
          <w:bCs w:val="0"/>
          <w:color w:val="auto"/>
        </w:rPr>
        <w:t xml:space="preserve"> 5.4 – </w:t>
      </w:r>
      <w:r w:rsidR="006934D1" w:rsidRPr="009D08C5">
        <w:rPr>
          <w:rStyle w:val="A4"/>
          <w:rFonts w:cstheme="minorBidi"/>
          <w:b w:val="0"/>
          <w:bCs w:val="0"/>
          <w:color w:val="auto"/>
        </w:rPr>
        <w:t>Discuss the provision of dispensing both oral medications and administering vaccine prior to initial 10-day supplies running out.</w:t>
      </w:r>
    </w:p>
    <w:p w:rsidR="006934D1" w:rsidRPr="009D08C5" w:rsidRDefault="00B95A81" w:rsidP="006934D1">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6934D1">
        <w:rPr>
          <w:rStyle w:val="A4"/>
          <w:rFonts w:cstheme="minorBidi"/>
          <w:bCs w:val="0"/>
          <w:color w:val="auto"/>
        </w:rPr>
        <w:t xml:space="preserve"> 5.</w:t>
      </w:r>
      <w:r w:rsidR="009B155F">
        <w:rPr>
          <w:rStyle w:val="A4"/>
          <w:rFonts w:cstheme="minorBidi"/>
          <w:bCs w:val="0"/>
          <w:color w:val="auto"/>
        </w:rPr>
        <w:t>5</w:t>
      </w:r>
      <w:r w:rsidR="006934D1">
        <w:rPr>
          <w:rStyle w:val="A4"/>
          <w:rFonts w:cstheme="minorBidi"/>
          <w:bCs w:val="0"/>
          <w:color w:val="auto"/>
        </w:rPr>
        <w:t xml:space="preserve"> – </w:t>
      </w:r>
      <w:r w:rsidR="006934D1" w:rsidRPr="009D08C5">
        <w:rPr>
          <w:rStyle w:val="A4"/>
          <w:rFonts w:cstheme="minorBidi"/>
          <w:b w:val="0"/>
          <w:bCs w:val="0"/>
          <w:color w:val="auto"/>
        </w:rPr>
        <w:t>Discuss the modification of open POD sites and associated layouts to accommodate vaccine administration and oral dispensing.</w:t>
      </w:r>
    </w:p>
    <w:p w:rsidR="00B95A81" w:rsidRPr="009D08C5" w:rsidRDefault="00B95A81" w:rsidP="006934D1">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 5.</w:t>
      </w:r>
      <w:r w:rsidR="009B155F">
        <w:rPr>
          <w:rStyle w:val="A4"/>
          <w:rFonts w:cstheme="minorBidi"/>
          <w:bCs w:val="0"/>
          <w:color w:val="auto"/>
        </w:rPr>
        <w:t>6</w:t>
      </w:r>
      <w:r>
        <w:rPr>
          <w:rStyle w:val="A4"/>
          <w:rFonts w:cstheme="minorBidi"/>
          <w:bCs w:val="0"/>
          <w:color w:val="auto"/>
        </w:rPr>
        <w:t xml:space="preserve"> – </w:t>
      </w:r>
      <w:r w:rsidRPr="009D08C5">
        <w:rPr>
          <w:rStyle w:val="A4"/>
          <w:rFonts w:cstheme="minorBidi"/>
          <w:b w:val="0"/>
          <w:bCs w:val="0"/>
          <w:color w:val="auto"/>
        </w:rPr>
        <w:t>Discuss the identification of risk groups in respective jurisdictions who may have medication reactions.</w:t>
      </w:r>
    </w:p>
    <w:p w:rsidR="00B95A81" w:rsidRPr="009D08C5" w:rsidRDefault="00B95A81" w:rsidP="006934D1">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 5.</w:t>
      </w:r>
      <w:r w:rsidR="009B155F">
        <w:rPr>
          <w:rStyle w:val="A4"/>
          <w:rFonts w:cstheme="minorBidi"/>
          <w:bCs w:val="0"/>
          <w:color w:val="auto"/>
        </w:rPr>
        <w:t>7</w:t>
      </w:r>
      <w:r>
        <w:rPr>
          <w:rStyle w:val="A4"/>
          <w:rFonts w:cstheme="minorBidi"/>
          <w:bCs w:val="0"/>
          <w:color w:val="auto"/>
        </w:rPr>
        <w:t xml:space="preserve"> – </w:t>
      </w:r>
      <w:r w:rsidRPr="009D08C5">
        <w:rPr>
          <w:rStyle w:val="A4"/>
          <w:rFonts w:cstheme="minorBidi"/>
          <w:b w:val="0"/>
          <w:bCs w:val="0"/>
          <w:color w:val="auto"/>
        </w:rPr>
        <w:t>Identify a protocol for follow up to confirm medication safety and compliance.</w:t>
      </w:r>
    </w:p>
    <w:p w:rsidR="000B6287" w:rsidRDefault="000B6287" w:rsidP="00845362">
      <w:pPr>
        <w:tabs>
          <w:tab w:val="left" w:pos="3255"/>
        </w:tabs>
        <w:rPr>
          <w:rStyle w:val="A4"/>
          <w:b w:val="0"/>
        </w:rPr>
      </w:pPr>
      <w:r w:rsidRPr="009D08C5">
        <w:rPr>
          <w:b/>
        </w:rPr>
        <w:t xml:space="preserve">Medical Materiel Management and Distribution - </w:t>
      </w:r>
      <w:r w:rsidRPr="009D08C5">
        <w:rPr>
          <w:rStyle w:val="A4"/>
          <w:b w:val="0"/>
        </w:rPr>
        <w:t xml:space="preserve">Medical materiel management and distribution </w:t>
      </w:r>
      <w:proofErr w:type="gramStart"/>
      <w:r w:rsidRPr="009D08C5">
        <w:rPr>
          <w:rStyle w:val="A4"/>
          <w:b w:val="0"/>
        </w:rPr>
        <w:t>is</w:t>
      </w:r>
      <w:proofErr w:type="gramEnd"/>
      <w:r w:rsidRPr="009D08C5">
        <w:rPr>
          <w:rStyle w:val="A4"/>
          <w:b w:val="0"/>
        </w:rPr>
        <w:t xml:space="preserve"> the ability to acquire, maintain (e.g., cold chain storage or other storage protocol), transport, distribute, and track medical materiel (e.g., pharmaceuticals, gloves, masks, and ventilators) during an incident and to recover and account for unused medical materiel, as necessary, after an incident.</w:t>
      </w:r>
    </w:p>
    <w:p w:rsid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6.1</w:t>
      </w:r>
      <w:r w:rsidR="00FC48AD">
        <w:rPr>
          <w:rStyle w:val="A4"/>
          <w:rFonts w:cstheme="minorBidi"/>
          <w:bCs w:val="0"/>
          <w:color w:val="auto"/>
        </w:rPr>
        <w:t xml:space="preserve"> - </w:t>
      </w:r>
      <w:r w:rsidR="00FC48AD" w:rsidRPr="003D4FAC">
        <w:rPr>
          <w:rStyle w:val="A4"/>
          <w:rFonts w:cstheme="minorBidi"/>
          <w:b w:val="0"/>
          <w:bCs w:val="0"/>
          <w:color w:val="auto"/>
        </w:rPr>
        <w:t xml:space="preserve">Discuss the potential long-term use of identified </w:t>
      </w:r>
      <w:r w:rsidR="00FC48AD">
        <w:rPr>
          <w:rStyle w:val="A4"/>
          <w:rFonts w:cstheme="minorBidi"/>
          <w:b w:val="0"/>
          <w:bCs w:val="0"/>
          <w:color w:val="auto"/>
        </w:rPr>
        <w:t xml:space="preserve">DN </w:t>
      </w:r>
      <w:r w:rsidR="00FC48AD" w:rsidRPr="003D4FAC">
        <w:rPr>
          <w:rStyle w:val="A4"/>
          <w:rFonts w:cstheme="minorBidi"/>
          <w:b w:val="0"/>
          <w:bCs w:val="0"/>
          <w:color w:val="auto"/>
        </w:rPr>
        <w:t>locations, as well as identify strategies should facilities be unavailable for long-term operations.</w:t>
      </w:r>
    </w:p>
    <w:p w:rsid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6.2</w:t>
      </w:r>
      <w:r w:rsidR="00FC48AD">
        <w:rPr>
          <w:rStyle w:val="A4"/>
          <w:rFonts w:cstheme="minorBidi"/>
          <w:bCs w:val="0"/>
          <w:color w:val="auto"/>
        </w:rPr>
        <w:t xml:space="preserve"> – </w:t>
      </w:r>
      <w:r w:rsidR="00FC48AD" w:rsidRPr="009D08C5">
        <w:rPr>
          <w:rStyle w:val="A4"/>
          <w:rFonts w:cstheme="minorBidi"/>
          <w:b w:val="0"/>
          <w:bCs w:val="0"/>
          <w:color w:val="auto"/>
        </w:rPr>
        <w:t>Discuss considerations for augmenting security operations for long-term DN, POD, and transport operations during ongoing criminal investigation.</w:t>
      </w:r>
    </w:p>
    <w:p w:rsid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6.3</w:t>
      </w:r>
      <w:r w:rsidR="00FC48AD">
        <w:rPr>
          <w:rStyle w:val="A4"/>
          <w:rFonts w:cstheme="minorBidi"/>
          <w:bCs w:val="0"/>
          <w:color w:val="auto"/>
        </w:rPr>
        <w:t xml:space="preserve"> – </w:t>
      </w:r>
      <w:r w:rsidR="00FC48AD" w:rsidRPr="009D08C5">
        <w:rPr>
          <w:rStyle w:val="A4"/>
          <w:rFonts w:cstheme="minorBidi"/>
          <w:b w:val="0"/>
          <w:bCs w:val="0"/>
          <w:color w:val="auto"/>
        </w:rPr>
        <w:t>Identify security options for prospective dispensing or vaccine administration partners (pharmacies, etc.) that may be incorporated.</w:t>
      </w:r>
    </w:p>
    <w:p w:rsidR="00FC48AD" w:rsidRP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FC48AD">
        <w:rPr>
          <w:rStyle w:val="A4"/>
          <w:rFonts w:cstheme="minorBidi"/>
          <w:bCs w:val="0"/>
          <w:color w:val="auto"/>
        </w:rPr>
        <w:t xml:space="preserve"> 6.4 – </w:t>
      </w:r>
      <w:r w:rsidR="00FC48AD" w:rsidRPr="009D08C5">
        <w:rPr>
          <w:rStyle w:val="A4"/>
          <w:rFonts w:cstheme="minorBidi"/>
          <w:b w:val="0"/>
          <w:bCs w:val="0"/>
          <w:color w:val="auto"/>
        </w:rPr>
        <w:t>Discuss plans for receipt of vaccine at DN locations and existing cold chain management capacity of facilities and transport.</w:t>
      </w:r>
      <w:r w:rsidR="00FC48AD">
        <w:rPr>
          <w:rStyle w:val="A4"/>
          <w:rFonts w:cstheme="minorBidi"/>
          <w:bCs w:val="0"/>
          <w:color w:val="auto"/>
        </w:rPr>
        <w:t xml:space="preserve"> </w:t>
      </w:r>
    </w:p>
    <w:p w:rsidR="000B6287" w:rsidRDefault="000B6287" w:rsidP="000B6287">
      <w:pPr>
        <w:tabs>
          <w:tab w:val="left" w:pos="3255"/>
        </w:tabs>
        <w:rPr>
          <w:rStyle w:val="A4"/>
          <w:b w:val="0"/>
        </w:rPr>
      </w:pPr>
      <w:r w:rsidRPr="009D08C5">
        <w:rPr>
          <w:b/>
        </w:rPr>
        <w:t>Public Health Surveillance and Epidemiological Investigation</w:t>
      </w:r>
      <w:r w:rsidRPr="000B6287">
        <w:t xml:space="preserve"> – </w:t>
      </w:r>
      <w:r w:rsidRPr="009D08C5">
        <w:rPr>
          <w:rStyle w:val="A4"/>
          <w:b w:val="0"/>
        </w:rPr>
        <w:t>The ability to create, maintain, support, and strengthen routine surveillance and detection systems and epidemiological investigation processes, as well as to expand these systems and processes in response to incidents</w:t>
      </w:r>
      <w:r w:rsidRPr="009D08C5">
        <w:rPr>
          <w:rStyle w:val="A10"/>
          <w:sz w:val="22"/>
          <w:szCs w:val="22"/>
        </w:rPr>
        <w:t xml:space="preserve"> </w:t>
      </w:r>
      <w:r w:rsidRPr="009D08C5">
        <w:rPr>
          <w:rStyle w:val="A4"/>
          <w:b w:val="0"/>
        </w:rPr>
        <w:t>of public health significance.</w:t>
      </w:r>
    </w:p>
    <w:p w:rsid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7.1</w:t>
      </w:r>
      <w:r w:rsidR="003C03CF">
        <w:rPr>
          <w:rStyle w:val="A4"/>
          <w:rFonts w:cstheme="minorBidi"/>
          <w:bCs w:val="0"/>
          <w:color w:val="auto"/>
        </w:rPr>
        <w:t xml:space="preserve"> </w:t>
      </w:r>
      <w:r w:rsidR="003C03CF" w:rsidRPr="009D08C5">
        <w:rPr>
          <w:rStyle w:val="A4"/>
          <w:rFonts w:cstheme="minorBidi"/>
          <w:b w:val="0"/>
          <w:bCs w:val="0"/>
          <w:color w:val="auto"/>
        </w:rPr>
        <w:t>–</w:t>
      </w:r>
      <w:r w:rsidR="003C03CF">
        <w:rPr>
          <w:rStyle w:val="A4"/>
          <w:rFonts w:cstheme="minorBidi"/>
          <w:bCs w:val="0"/>
          <w:color w:val="auto"/>
        </w:rPr>
        <w:t xml:space="preserve"> </w:t>
      </w:r>
      <w:r w:rsidR="003C03CF" w:rsidRPr="009D08C5">
        <w:rPr>
          <w:rStyle w:val="A4"/>
          <w:rFonts w:cstheme="minorBidi"/>
          <w:b w:val="0"/>
          <w:bCs w:val="0"/>
          <w:color w:val="auto"/>
        </w:rPr>
        <w:t>Discuss actions for the identification and monitoring of cases and clusters of human illness that may be associated with a bioterrorist event.</w:t>
      </w:r>
    </w:p>
    <w:p w:rsidR="000B6287" w:rsidRPr="003C03CF" w:rsidRDefault="00B95A81" w:rsidP="003C03CF">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7.2</w:t>
      </w:r>
      <w:r w:rsidR="003C03CF">
        <w:rPr>
          <w:rStyle w:val="A4"/>
          <w:rFonts w:cstheme="minorBidi"/>
          <w:bCs w:val="0"/>
          <w:color w:val="auto"/>
        </w:rPr>
        <w:t xml:space="preserve"> </w:t>
      </w:r>
      <w:r w:rsidR="003C03CF" w:rsidRPr="009D08C5">
        <w:rPr>
          <w:rStyle w:val="A4"/>
          <w:rFonts w:cstheme="minorBidi"/>
          <w:b w:val="0"/>
          <w:bCs w:val="0"/>
          <w:color w:val="auto"/>
        </w:rPr>
        <w:t>– Discuss coordination with partners for the identification of population to receive follow-up medical countermeasures based on surveillance data.</w:t>
      </w:r>
    </w:p>
    <w:p w:rsidR="000B6287" w:rsidRDefault="000B6287" w:rsidP="000B6287">
      <w:pPr>
        <w:tabs>
          <w:tab w:val="left" w:pos="3255"/>
        </w:tabs>
        <w:rPr>
          <w:rStyle w:val="A4"/>
          <w:b w:val="0"/>
        </w:rPr>
      </w:pPr>
      <w:r w:rsidRPr="009D08C5">
        <w:rPr>
          <w:b/>
        </w:rPr>
        <w:t>Responder Safety and Health</w:t>
      </w:r>
      <w:r w:rsidRPr="000B6287">
        <w:t xml:space="preserve"> – </w:t>
      </w:r>
      <w:r w:rsidRPr="009D08C5">
        <w:rPr>
          <w:rStyle w:val="A4"/>
          <w:b w:val="0"/>
        </w:rPr>
        <w:t xml:space="preserve">The responder safety and health capability </w:t>
      </w:r>
      <w:proofErr w:type="gramStart"/>
      <w:r w:rsidRPr="009D08C5">
        <w:rPr>
          <w:rStyle w:val="A4"/>
          <w:b w:val="0"/>
        </w:rPr>
        <w:t>describes</w:t>
      </w:r>
      <w:proofErr w:type="gramEnd"/>
      <w:r w:rsidRPr="009D08C5">
        <w:rPr>
          <w:rStyle w:val="A4"/>
          <w:b w:val="0"/>
        </w:rPr>
        <w:t xml:space="preserve"> the ability to protect public health agency staff responding to an incident</w:t>
      </w:r>
      <w:r w:rsidRPr="009D08C5">
        <w:rPr>
          <w:rStyle w:val="A10"/>
          <w:sz w:val="22"/>
          <w:szCs w:val="22"/>
        </w:rPr>
        <w:t xml:space="preserve"> </w:t>
      </w:r>
      <w:r w:rsidRPr="009D08C5">
        <w:rPr>
          <w:rStyle w:val="A4"/>
          <w:b w:val="0"/>
        </w:rPr>
        <w:t>and the ability to support the health and safety needs of hospital and medical facility personnel, if requested.</w:t>
      </w:r>
    </w:p>
    <w:p w:rsidR="000B6287" w:rsidRPr="009D08C5" w:rsidRDefault="00B95A81" w:rsidP="000B6287">
      <w:pPr>
        <w:pStyle w:val="ListParagraph"/>
        <w:numPr>
          <w:ilvl w:val="0"/>
          <w:numId w:val="33"/>
        </w:numPr>
        <w:tabs>
          <w:tab w:val="left" w:pos="3255"/>
        </w:tabs>
        <w:rPr>
          <w:rStyle w:val="A4"/>
          <w:rFonts w:cstheme="minorBidi"/>
          <w:b w:val="0"/>
          <w:bCs w:val="0"/>
          <w:color w:val="auto"/>
        </w:rPr>
      </w:pPr>
      <w:r>
        <w:rPr>
          <w:rStyle w:val="A4"/>
          <w:rFonts w:cstheme="minorBidi"/>
          <w:bCs w:val="0"/>
          <w:color w:val="auto"/>
        </w:rPr>
        <w:t>Activity</w:t>
      </w:r>
      <w:r w:rsidR="000B6287">
        <w:rPr>
          <w:rStyle w:val="A4"/>
          <w:rFonts w:cstheme="minorBidi"/>
          <w:bCs w:val="0"/>
          <w:color w:val="auto"/>
        </w:rPr>
        <w:t xml:space="preserve"> </w:t>
      </w:r>
      <w:r w:rsidR="007C6054">
        <w:rPr>
          <w:rStyle w:val="A4"/>
          <w:rFonts w:cstheme="minorBidi"/>
          <w:bCs w:val="0"/>
          <w:color w:val="auto"/>
        </w:rPr>
        <w:t>8</w:t>
      </w:r>
      <w:r w:rsidR="000B6287">
        <w:rPr>
          <w:rStyle w:val="A4"/>
          <w:rFonts w:cstheme="minorBidi"/>
          <w:bCs w:val="0"/>
          <w:color w:val="auto"/>
        </w:rPr>
        <w:t>.1</w:t>
      </w:r>
      <w:r w:rsidR="003C03CF">
        <w:rPr>
          <w:rStyle w:val="A4"/>
          <w:rFonts w:cstheme="minorBidi"/>
          <w:bCs w:val="0"/>
          <w:color w:val="auto"/>
        </w:rPr>
        <w:t xml:space="preserve"> – </w:t>
      </w:r>
      <w:r w:rsidR="003C03CF" w:rsidRPr="009D08C5">
        <w:rPr>
          <w:rStyle w:val="A4"/>
          <w:rFonts w:cstheme="minorBidi"/>
          <w:b w:val="0"/>
          <w:bCs w:val="0"/>
          <w:color w:val="auto"/>
        </w:rPr>
        <w:t>Identify strategies for providing additional 50-day prophylaxis and vaccine to emergency first responders.</w:t>
      </w:r>
    </w:p>
    <w:p w:rsidR="000B6287" w:rsidRDefault="000B6287" w:rsidP="000B6287">
      <w:pPr>
        <w:tabs>
          <w:tab w:val="left" w:pos="3255"/>
        </w:tabs>
        <w:rPr>
          <w:rStyle w:val="A4"/>
          <w:b w:val="0"/>
        </w:rPr>
      </w:pPr>
      <w:r w:rsidRPr="009D08C5">
        <w:rPr>
          <w:b/>
        </w:rPr>
        <w:t>Volunteer Management</w:t>
      </w:r>
      <w:r w:rsidRPr="000B6287">
        <w:t xml:space="preserve"> – </w:t>
      </w:r>
      <w:r w:rsidRPr="009D08C5">
        <w:rPr>
          <w:rStyle w:val="A4"/>
          <w:b w:val="0"/>
        </w:rPr>
        <w:t>Volunteer management is the ability to coordinate the identification, recruitment, registration, credential verification, training, and engagement of volunteers</w:t>
      </w:r>
      <w:r w:rsidRPr="009D08C5">
        <w:rPr>
          <w:rStyle w:val="A10"/>
          <w:sz w:val="22"/>
          <w:szCs w:val="22"/>
        </w:rPr>
        <w:t xml:space="preserve"> </w:t>
      </w:r>
      <w:r w:rsidRPr="009D08C5">
        <w:rPr>
          <w:rStyle w:val="A4"/>
          <w:b w:val="0"/>
        </w:rPr>
        <w:t>to support the jurisdictional public health agency’s response to incidents of public health significance.</w:t>
      </w:r>
    </w:p>
    <w:p w:rsidR="000B6287" w:rsidRDefault="00B95A81" w:rsidP="000B6287">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w:t>
      </w:r>
      <w:r w:rsidR="007C6054">
        <w:rPr>
          <w:rStyle w:val="A4"/>
          <w:rFonts w:cstheme="minorBidi"/>
          <w:bCs w:val="0"/>
          <w:color w:val="auto"/>
        </w:rPr>
        <w:t>9</w:t>
      </w:r>
      <w:r w:rsidR="000B6287">
        <w:rPr>
          <w:rStyle w:val="A4"/>
          <w:rFonts w:cstheme="minorBidi"/>
          <w:bCs w:val="0"/>
          <w:color w:val="auto"/>
        </w:rPr>
        <w:t>.1</w:t>
      </w:r>
      <w:r w:rsidR="006934D1">
        <w:rPr>
          <w:rStyle w:val="A4"/>
          <w:rFonts w:cstheme="minorBidi"/>
          <w:bCs w:val="0"/>
          <w:color w:val="auto"/>
        </w:rPr>
        <w:t xml:space="preserve"> – </w:t>
      </w:r>
      <w:r w:rsidR="006934D1" w:rsidRPr="009D08C5">
        <w:rPr>
          <w:rStyle w:val="A4"/>
          <w:rFonts w:cstheme="minorBidi"/>
          <w:b w:val="0"/>
          <w:bCs w:val="0"/>
          <w:color w:val="auto"/>
        </w:rPr>
        <w:t>Discuss mechanisms to determine or adapt a staffing module to incorporate higher volumes of medically licensed personnel.</w:t>
      </w:r>
    </w:p>
    <w:p w:rsidR="000B6287" w:rsidRDefault="00B95A81" w:rsidP="006934D1">
      <w:pPr>
        <w:pStyle w:val="ListParagraph"/>
        <w:numPr>
          <w:ilvl w:val="0"/>
          <w:numId w:val="33"/>
        </w:numPr>
        <w:tabs>
          <w:tab w:val="left" w:pos="3255"/>
        </w:tabs>
        <w:rPr>
          <w:rStyle w:val="A4"/>
          <w:rFonts w:cstheme="minorBidi"/>
          <w:bCs w:val="0"/>
          <w:color w:val="auto"/>
        </w:rPr>
      </w:pPr>
      <w:r>
        <w:rPr>
          <w:rStyle w:val="A4"/>
          <w:rFonts w:cstheme="minorBidi"/>
          <w:bCs w:val="0"/>
          <w:color w:val="auto"/>
        </w:rPr>
        <w:t>Activity</w:t>
      </w:r>
      <w:r w:rsidR="000B6287">
        <w:rPr>
          <w:rStyle w:val="A4"/>
          <w:rFonts w:cstheme="minorBidi"/>
          <w:bCs w:val="0"/>
          <w:color w:val="auto"/>
        </w:rPr>
        <w:t xml:space="preserve"> </w:t>
      </w:r>
      <w:r w:rsidR="007C6054">
        <w:rPr>
          <w:rStyle w:val="A4"/>
          <w:rFonts w:cstheme="minorBidi"/>
          <w:bCs w:val="0"/>
          <w:color w:val="auto"/>
        </w:rPr>
        <w:t>9</w:t>
      </w:r>
      <w:r w:rsidR="000B6287">
        <w:rPr>
          <w:rStyle w:val="A4"/>
          <w:rFonts w:cstheme="minorBidi"/>
          <w:bCs w:val="0"/>
          <w:color w:val="auto"/>
        </w:rPr>
        <w:t>.2</w:t>
      </w:r>
      <w:r w:rsidR="006934D1">
        <w:rPr>
          <w:rStyle w:val="A4"/>
          <w:rFonts w:cstheme="minorBidi"/>
          <w:bCs w:val="0"/>
          <w:color w:val="auto"/>
        </w:rPr>
        <w:t xml:space="preserve"> – </w:t>
      </w:r>
      <w:r w:rsidR="006934D1" w:rsidRPr="009D08C5">
        <w:rPr>
          <w:rStyle w:val="A4"/>
          <w:rFonts w:cstheme="minorBidi"/>
          <w:b w:val="0"/>
          <w:bCs w:val="0"/>
          <w:color w:val="auto"/>
        </w:rPr>
        <w:t>Identify strategies for staff/volunteer augmentation for large scale and extended operations.</w:t>
      </w:r>
    </w:p>
    <w:p w:rsidR="00536E2F" w:rsidRPr="009D08C5" w:rsidRDefault="00536E2F" w:rsidP="009D08C5">
      <w:pPr>
        <w:tabs>
          <w:tab w:val="left" w:pos="3255"/>
        </w:tabs>
        <w:sectPr w:rsidR="00536E2F" w:rsidRPr="009D08C5" w:rsidSect="000305A8">
          <w:pgSz w:w="12240" w:h="15840"/>
          <w:pgMar w:top="1440" w:right="1440" w:bottom="1440" w:left="1440" w:header="720" w:footer="720" w:gutter="0"/>
          <w:cols w:space="720"/>
          <w:docGrid w:linePitch="360"/>
        </w:sectPr>
      </w:pPr>
    </w:p>
    <w:p w:rsidR="002C5173" w:rsidRDefault="002C5173" w:rsidP="002C5173">
      <w:pPr>
        <w:pStyle w:val="Heading3"/>
        <w:numPr>
          <w:ilvl w:val="0"/>
          <w:numId w:val="18"/>
        </w:numPr>
        <w:shd w:val="clear" w:color="auto" w:fill="0F243E" w:themeFill="text2" w:themeFillShade="80"/>
        <w:jc w:val="center"/>
        <w:rPr>
          <w:color w:val="FFFFFF" w:themeColor="background1"/>
        </w:rPr>
      </w:pPr>
      <w:r w:rsidRPr="00345F96">
        <w:rPr>
          <w:color w:val="FFFFFF" w:themeColor="background1"/>
        </w:rPr>
        <w:t xml:space="preserve">APPENDIX A: </w:t>
      </w:r>
      <w:r>
        <w:rPr>
          <w:color w:val="FFFFFF" w:themeColor="background1"/>
        </w:rPr>
        <w:t>Acronyms</w:t>
      </w:r>
    </w:p>
    <w:p w:rsidR="002C5173" w:rsidRDefault="002C5173" w:rsidP="009D08C5">
      <w:pPr>
        <w:pStyle w:val="ListParagraph"/>
      </w:pP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7448"/>
      </w:tblGrid>
      <w:tr w:rsidR="002C5173" w:rsidRPr="00653F73" w:rsidTr="000A4BB5">
        <w:trPr>
          <w:trHeight w:val="582"/>
          <w:tblHeader/>
          <w:jc w:val="center"/>
        </w:trPr>
        <w:tc>
          <w:tcPr>
            <w:tcW w:w="1332" w:type="dxa"/>
            <w:tcBorders>
              <w:right w:val="single" w:sz="4" w:space="0" w:color="FFFFFF"/>
            </w:tcBorders>
            <w:shd w:val="clear" w:color="auto" w:fill="0F243E" w:themeFill="text2" w:themeFillShade="80"/>
            <w:vAlign w:val="center"/>
          </w:tcPr>
          <w:p w:rsidR="002C5173" w:rsidRPr="00653F73" w:rsidRDefault="002C5173" w:rsidP="00760892">
            <w:pPr>
              <w:spacing w:before="40" w:after="40" w:line="240" w:lineRule="auto"/>
              <w:jc w:val="center"/>
              <w:rPr>
                <w:rFonts w:ascii="Arial" w:eastAsia="Times New Roman" w:hAnsi="Arial" w:cs="Arial"/>
                <w:b/>
                <w:sz w:val="20"/>
                <w:szCs w:val="20"/>
              </w:rPr>
            </w:pPr>
            <w:r w:rsidRPr="00653F73">
              <w:rPr>
                <w:rFonts w:ascii="Arial" w:eastAsia="Times New Roman" w:hAnsi="Arial" w:cs="Arial"/>
                <w:b/>
                <w:sz w:val="20"/>
                <w:szCs w:val="20"/>
              </w:rPr>
              <w:t>Acronym</w:t>
            </w:r>
          </w:p>
        </w:tc>
        <w:tc>
          <w:tcPr>
            <w:tcW w:w="7448" w:type="dxa"/>
            <w:tcBorders>
              <w:left w:val="single" w:sz="4" w:space="0" w:color="FFFFFF"/>
            </w:tcBorders>
            <w:shd w:val="clear" w:color="auto" w:fill="0F243E" w:themeFill="text2" w:themeFillShade="80"/>
            <w:vAlign w:val="center"/>
          </w:tcPr>
          <w:p w:rsidR="002C5173" w:rsidRPr="00653F73" w:rsidRDefault="002C5173" w:rsidP="00760892">
            <w:pPr>
              <w:spacing w:before="40" w:after="40" w:line="240" w:lineRule="auto"/>
              <w:jc w:val="center"/>
              <w:rPr>
                <w:rFonts w:ascii="Arial" w:eastAsia="Times New Roman" w:hAnsi="Arial" w:cs="Arial"/>
                <w:b/>
                <w:sz w:val="20"/>
                <w:szCs w:val="20"/>
              </w:rPr>
            </w:pPr>
            <w:r w:rsidRPr="00653F73">
              <w:rPr>
                <w:rFonts w:ascii="Arial" w:eastAsia="Times New Roman" w:hAnsi="Arial" w:cs="Arial"/>
                <w:b/>
                <w:sz w:val="20"/>
                <w:szCs w:val="20"/>
              </w:rPr>
              <w:t>Term</w:t>
            </w:r>
          </w:p>
        </w:tc>
      </w:tr>
      <w:tr w:rsidR="00B23698" w:rsidRPr="00653F73" w:rsidTr="000A4BB5">
        <w:trPr>
          <w:trHeight w:val="582"/>
          <w:jc w:val="center"/>
        </w:trPr>
        <w:tc>
          <w:tcPr>
            <w:tcW w:w="1332" w:type="dxa"/>
            <w:vAlign w:val="center"/>
          </w:tcPr>
          <w:p w:rsidR="00B23698" w:rsidRDefault="00B23698" w:rsidP="00760892">
            <w:pPr>
              <w:spacing w:after="0" w:line="240" w:lineRule="auto"/>
            </w:pPr>
            <w:r>
              <w:t>AVA</w:t>
            </w:r>
          </w:p>
        </w:tc>
        <w:tc>
          <w:tcPr>
            <w:tcW w:w="7448" w:type="dxa"/>
            <w:vAlign w:val="center"/>
          </w:tcPr>
          <w:p w:rsidR="00B23698" w:rsidRDefault="00B23698" w:rsidP="00760892">
            <w:pPr>
              <w:spacing w:after="0" w:line="240" w:lineRule="auto"/>
            </w:pPr>
            <w:r>
              <w:t>Anthrax Vaccine Absorbed</w:t>
            </w:r>
          </w:p>
        </w:tc>
      </w:tr>
      <w:tr w:rsidR="00B23698" w:rsidRPr="00653F73" w:rsidTr="000A4BB5">
        <w:trPr>
          <w:trHeight w:val="582"/>
          <w:jc w:val="center"/>
        </w:trPr>
        <w:tc>
          <w:tcPr>
            <w:tcW w:w="1332" w:type="dxa"/>
            <w:vAlign w:val="center"/>
          </w:tcPr>
          <w:p w:rsidR="00B23698" w:rsidRDefault="00B23698" w:rsidP="00760892">
            <w:pPr>
              <w:spacing w:after="0" w:line="240" w:lineRule="auto"/>
            </w:pPr>
            <w:r>
              <w:t>BAC</w:t>
            </w:r>
          </w:p>
        </w:tc>
        <w:tc>
          <w:tcPr>
            <w:tcW w:w="7448" w:type="dxa"/>
            <w:vAlign w:val="center"/>
          </w:tcPr>
          <w:p w:rsidR="00B23698" w:rsidRDefault="00B23698" w:rsidP="00760892">
            <w:pPr>
              <w:spacing w:after="0" w:line="240" w:lineRule="auto"/>
            </w:pPr>
            <w:r>
              <w:t xml:space="preserve">BioWatch Advisory </w:t>
            </w:r>
            <w:r w:rsidR="00C63A95">
              <w:t>Committee</w:t>
            </w:r>
          </w:p>
        </w:tc>
      </w:tr>
      <w:tr w:rsidR="002C5173" w:rsidRPr="00653F73" w:rsidTr="000A4BB5">
        <w:trPr>
          <w:trHeight w:val="582"/>
          <w:jc w:val="center"/>
        </w:trPr>
        <w:tc>
          <w:tcPr>
            <w:tcW w:w="1332" w:type="dxa"/>
            <w:vAlign w:val="center"/>
          </w:tcPr>
          <w:p w:rsidR="002C5173" w:rsidRPr="00CB6BF5" w:rsidRDefault="002C5173" w:rsidP="00760892">
            <w:pPr>
              <w:spacing w:after="0" w:line="240" w:lineRule="auto"/>
            </w:pPr>
            <w:r>
              <w:t>BETP</w:t>
            </w:r>
          </w:p>
        </w:tc>
        <w:tc>
          <w:tcPr>
            <w:tcW w:w="7448" w:type="dxa"/>
            <w:vAlign w:val="center"/>
          </w:tcPr>
          <w:p w:rsidR="002C5173" w:rsidRPr="00CB6BF5" w:rsidRDefault="002C5173" w:rsidP="00760892">
            <w:pPr>
              <w:spacing w:after="0" w:line="240" w:lineRule="auto"/>
            </w:pPr>
            <w:r>
              <w:t>Bureau of EMS, Trauma and Preparedness</w:t>
            </w:r>
            <w:r w:rsidRPr="00CB6BF5">
              <w:t xml:space="preserve"> </w:t>
            </w:r>
          </w:p>
        </w:tc>
      </w:tr>
      <w:tr w:rsidR="002C5173" w:rsidRPr="00653F73" w:rsidTr="000A4BB5">
        <w:trPr>
          <w:trHeight w:val="582"/>
          <w:jc w:val="center"/>
        </w:trPr>
        <w:tc>
          <w:tcPr>
            <w:tcW w:w="1332" w:type="dxa"/>
            <w:vAlign w:val="center"/>
          </w:tcPr>
          <w:p w:rsidR="002C5173" w:rsidRPr="00CB6BF5" w:rsidRDefault="002C5173" w:rsidP="00760892">
            <w:pPr>
              <w:spacing w:after="0" w:line="240" w:lineRule="auto"/>
            </w:pPr>
            <w:r w:rsidRPr="00CB6BF5">
              <w:t>CDC</w:t>
            </w:r>
          </w:p>
        </w:tc>
        <w:tc>
          <w:tcPr>
            <w:tcW w:w="7448" w:type="dxa"/>
            <w:vAlign w:val="center"/>
          </w:tcPr>
          <w:p w:rsidR="002C5173" w:rsidRPr="00CB6BF5" w:rsidRDefault="002C5173" w:rsidP="00760892">
            <w:pPr>
              <w:spacing w:after="0" w:line="240" w:lineRule="auto"/>
            </w:pPr>
            <w:r w:rsidRPr="00CB6BF5">
              <w:t>Centers for Disease Control and Prevention</w:t>
            </w:r>
          </w:p>
        </w:tc>
      </w:tr>
      <w:tr w:rsidR="00B23698" w:rsidRPr="00653F73" w:rsidTr="000A4BB5">
        <w:trPr>
          <w:trHeight w:val="582"/>
          <w:jc w:val="center"/>
        </w:trPr>
        <w:tc>
          <w:tcPr>
            <w:tcW w:w="1332" w:type="dxa"/>
            <w:vAlign w:val="center"/>
          </w:tcPr>
          <w:p w:rsidR="00B23698" w:rsidRPr="00CB6BF5" w:rsidRDefault="00B23698" w:rsidP="00760892">
            <w:pPr>
              <w:spacing w:after="0" w:line="240" w:lineRule="auto"/>
            </w:pPr>
            <w:r>
              <w:t>CRI</w:t>
            </w:r>
          </w:p>
        </w:tc>
        <w:tc>
          <w:tcPr>
            <w:tcW w:w="7448" w:type="dxa"/>
            <w:vAlign w:val="center"/>
          </w:tcPr>
          <w:p w:rsidR="00B23698" w:rsidRPr="00CB6BF5" w:rsidRDefault="00B23698" w:rsidP="00760892">
            <w:pPr>
              <w:spacing w:after="0" w:line="240" w:lineRule="auto"/>
            </w:pPr>
            <w:r>
              <w:t>Cities Readiness Initiative</w:t>
            </w:r>
          </w:p>
        </w:tc>
      </w:tr>
      <w:tr w:rsidR="00B23698" w:rsidRPr="00653F73" w:rsidTr="000A4BB5">
        <w:trPr>
          <w:trHeight w:val="582"/>
          <w:jc w:val="center"/>
        </w:trPr>
        <w:tc>
          <w:tcPr>
            <w:tcW w:w="1332" w:type="dxa"/>
            <w:vAlign w:val="center"/>
          </w:tcPr>
          <w:p w:rsidR="00B23698" w:rsidRDefault="00B23698" w:rsidP="00760892">
            <w:pPr>
              <w:spacing w:after="0" w:line="240" w:lineRule="auto"/>
            </w:pPr>
            <w:r>
              <w:t>DEPR</w:t>
            </w:r>
          </w:p>
        </w:tc>
        <w:tc>
          <w:tcPr>
            <w:tcW w:w="7448" w:type="dxa"/>
            <w:vAlign w:val="center"/>
          </w:tcPr>
          <w:p w:rsidR="00B23698" w:rsidRDefault="00C63A95" w:rsidP="00760892">
            <w:pPr>
              <w:spacing w:after="0" w:line="240" w:lineRule="auto"/>
            </w:pPr>
            <w:r>
              <w:t>Division of Emergency Preparedness and Response</w:t>
            </w:r>
          </w:p>
        </w:tc>
      </w:tr>
      <w:tr w:rsidR="00C63A95" w:rsidRPr="00653F73" w:rsidTr="000A4BB5">
        <w:trPr>
          <w:trHeight w:val="582"/>
          <w:jc w:val="center"/>
        </w:trPr>
        <w:tc>
          <w:tcPr>
            <w:tcW w:w="1332" w:type="dxa"/>
            <w:vAlign w:val="center"/>
          </w:tcPr>
          <w:p w:rsidR="00C63A95" w:rsidRDefault="00C63A95" w:rsidP="00760892">
            <w:pPr>
              <w:spacing w:after="0" w:line="240" w:lineRule="auto"/>
            </w:pPr>
            <w:r>
              <w:t>EPC</w:t>
            </w:r>
          </w:p>
        </w:tc>
        <w:tc>
          <w:tcPr>
            <w:tcW w:w="7448" w:type="dxa"/>
            <w:vAlign w:val="center"/>
          </w:tcPr>
          <w:p w:rsidR="00C63A95" w:rsidRDefault="00C63A95" w:rsidP="00760892">
            <w:pPr>
              <w:spacing w:after="0" w:line="240" w:lineRule="auto"/>
            </w:pPr>
            <w:r>
              <w:t>Emergency Preparedness Coordinator</w:t>
            </w:r>
          </w:p>
        </w:tc>
      </w:tr>
      <w:tr w:rsidR="00C63A95" w:rsidRPr="00653F73" w:rsidTr="000A4BB5">
        <w:trPr>
          <w:trHeight w:val="582"/>
          <w:jc w:val="center"/>
        </w:trPr>
        <w:tc>
          <w:tcPr>
            <w:tcW w:w="1332" w:type="dxa"/>
            <w:vAlign w:val="center"/>
          </w:tcPr>
          <w:p w:rsidR="00C63A95" w:rsidRDefault="00C63A95" w:rsidP="00760892">
            <w:pPr>
              <w:spacing w:after="0" w:line="240" w:lineRule="auto"/>
            </w:pPr>
            <w:r>
              <w:t>FBI</w:t>
            </w:r>
          </w:p>
        </w:tc>
        <w:tc>
          <w:tcPr>
            <w:tcW w:w="7448" w:type="dxa"/>
            <w:vAlign w:val="center"/>
          </w:tcPr>
          <w:p w:rsidR="00C63A95" w:rsidRDefault="00C63A95" w:rsidP="00760892">
            <w:pPr>
              <w:spacing w:after="0" w:line="240" w:lineRule="auto"/>
            </w:pPr>
            <w:r>
              <w:t>Federal Bureau of Investigation</w:t>
            </w:r>
          </w:p>
        </w:tc>
      </w:tr>
      <w:tr w:rsidR="002C5173" w:rsidRPr="00653F73" w:rsidTr="000A4BB5">
        <w:trPr>
          <w:trHeight w:val="582"/>
          <w:jc w:val="center"/>
        </w:trPr>
        <w:tc>
          <w:tcPr>
            <w:tcW w:w="1332" w:type="dxa"/>
            <w:vAlign w:val="center"/>
          </w:tcPr>
          <w:p w:rsidR="002C5173" w:rsidRDefault="002C5173" w:rsidP="00760892">
            <w:pPr>
              <w:spacing w:after="0" w:line="240" w:lineRule="auto"/>
            </w:pPr>
            <w:r w:rsidRPr="00CB6BF5">
              <w:t>FOUO</w:t>
            </w:r>
          </w:p>
        </w:tc>
        <w:tc>
          <w:tcPr>
            <w:tcW w:w="7448" w:type="dxa"/>
            <w:vAlign w:val="center"/>
          </w:tcPr>
          <w:p w:rsidR="002C5173" w:rsidRDefault="002C5173" w:rsidP="00760892">
            <w:pPr>
              <w:spacing w:after="0" w:line="240" w:lineRule="auto"/>
            </w:pPr>
            <w:r w:rsidRPr="00CB6BF5">
              <w:t>For Official Use Only</w:t>
            </w:r>
          </w:p>
        </w:tc>
      </w:tr>
      <w:tr w:rsidR="00C63A95" w:rsidRPr="00653F73" w:rsidTr="000A4BB5">
        <w:trPr>
          <w:trHeight w:val="582"/>
          <w:jc w:val="center"/>
        </w:trPr>
        <w:tc>
          <w:tcPr>
            <w:tcW w:w="1332" w:type="dxa"/>
            <w:vAlign w:val="center"/>
          </w:tcPr>
          <w:p w:rsidR="00C63A95" w:rsidRPr="00CB6BF5" w:rsidRDefault="00C63A95" w:rsidP="00760892">
            <w:pPr>
              <w:spacing w:after="0" w:line="240" w:lineRule="auto"/>
            </w:pPr>
            <w:r>
              <w:t>HSEEP</w:t>
            </w:r>
          </w:p>
        </w:tc>
        <w:tc>
          <w:tcPr>
            <w:tcW w:w="7448" w:type="dxa"/>
            <w:vAlign w:val="center"/>
          </w:tcPr>
          <w:p w:rsidR="00C63A95" w:rsidRPr="00CB6BF5" w:rsidRDefault="00C63A95" w:rsidP="00760892">
            <w:pPr>
              <w:spacing w:after="0" w:line="240" w:lineRule="auto"/>
            </w:pPr>
            <w:r>
              <w:t>Homeland Security Exercise and Evaluation Program</w:t>
            </w:r>
          </w:p>
        </w:tc>
      </w:tr>
      <w:tr w:rsidR="002C5173" w:rsidRPr="00653F73" w:rsidTr="000A4BB5">
        <w:trPr>
          <w:trHeight w:val="582"/>
          <w:jc w:val="center"/>
        </w:trPr>
        <w:tc>
          <w:tcPr>
            <w:tcW w:w="1332" w:type="dxa"/>
            <w:vAlign w:val="center"/>
          </w:tcPr>
          <w:p w:rsidR="002C5173" w:rsidRDefault="002C5173" w:rsidP="00760892">
            <w:pPr>
              <w:spacing w:after="0" w:line="240" w:lineRule="auto"/>
            </w:pPr>
            <w:r>
              <w:t>MCM</w:t>
            </w:r>
          </w:p>
        </w:tc>
        <w:tc>
          <w:tcPr>
            <w:tcW w:w="7448" w:type="dxa"/>
            <w:vAlign w:val="center"/>
          </w:tcPr>
          <w:p w:rsidR="002C5173" w:rsidRDefault="002C5173" w:rsidP="00760892">
            <w:pPr>
              <w:spacing w:after="0" w:line="240" w:lineRule="auto"/>
            </w:pPr>
            <w:r>
              <w:t>Medical Countermeasures</w:t>
            </w:r>
          </w:p>
        </w:tc>
      </w:tr>
      <w:tr w:rsidR="002C5173" w:rsidRPr="00653F73" w:rsidTr="000A4BB5">
        <w:trPr>
          <w:trHeight w:val="582"/>
          <w:jc w:val="center"/>
        </w:trPr>
        <w:tc>
          <w:tcPr>
            <w:tcW w:w="1332" w:type="dxa"/>
            <w:vAlign w:val="center"/>
          </w:tcPr>
          <w:p w:rsidR="002C5173" w:rsidRPr="00CB6BF5" w:rsidRDefault="002C5173" w:rsidP="00760892">
            <w:pPr>
              <w:spacing w:after="0" w:line="240" w:lineRule="auto"/>
            </w:pPr>
            <w:r>
              <w:t>MDHHS</w:t>
            </w:r>
          </w:p>
        </w:tc>
        <w:tc>
          <w:tcPr>
            <w:tcW w:w="7448" w:type="dxa"/>
            <w:vAlign w:val="center"/>
          </w:tcPr>
          <w:p w:rsidR="002C5173" w:rsidRPr="00CB6BF5" w:rsidRDefault="002C5173" w:rsidP="00760892">
            <w:pPr>
              <w:spacing w:after="0" w:line="240" w:lineRule="auto"/>
            </w:pPr>
            <w:r>
              <w:t>Michigan Department of Health and Human Services</w:t>
            </w:r>
          </w:p>
        </w:tc>
      </w:tr>
      <w:tr w:rsidR="00C63A95" w:rsidRPr="00653F73" w:rsidTr="000A4BB5">
        <w:trPr>
          <w:trHeight w:val="582"/>
          <w:jc w:val="center"/>
        </w:trPr>
        <w:tc>
          <w:tcPr>
            <w:tcW w:w="1332" w:type="dxa"/>
            <w:vAlign w:val="center"/>
          </w:tcPr>
          <w:p w:rsidR="00C63A95" w:rsidRDefault="00C63A95" w:rsidP="00760892">
            <w:pPr>
              <w:spacing w:after="0" w:line="240" w:lineRule="auto"/>
            </w:pPr>
            <w:r>
              <w:t>MSP</w:t>
            </w:r>
          </w:p>
        </w:tc>
        <w:tc>
          <w:tcPr>
            <w:tcW w:w="7448" w:type="dxa"/>
            <w:vAlign w:val="center"/>
          </w:tcPr>
          <w:p w:rsidR="00C63A95" w:rsidRDefault="00C63A95" w:rsidP="00760892">
            <w:pPr>
              <w:spacing w:after="0" w:line="240" w:lineRule="auto"/>
            </w:pPr>
            <w:r>
              <w:t>Michigan State Police</w:t>
            </w:r>
          </w:p>
        </w:tc>
      </w:tr>
      <w:tr w:rsidR="00C63A95" w:rsidRPr="00653F73" w:rsidTr="000A4BB5">
        <w:trPr>
          <w:trHeight w:val="582"/>
          <w:jc w:val="center"/>
        </w:trPr>
        <w:tc>
          <w:tcPr>
            <w:tcW w:w="1332" w:type="dxa"/>
            <w:vAlign w:val="center"/>
          </w:tcPr>
          <w:p w:rsidR="00C63A95" w:rsidRDefault="00C63A95" w:rsidP="00760892">
            <w:pPr>
              <w:spacing w:after="0" w:line="240" w:lineRule="auto"/>
            </w:pPr>
            <w:r>
              <w:t>ORR</w:t>
            </w:r>
          </w:p>
        </w:tc>
        <w:tc>
          <w:tcPr>
            <w:tcW w:w="7448" w:type="dxa"/>
            <w:vAlign w:val="center"/>
          </w:tcPr>
          <w:p w:rsidR="00C63A95" w:rsidRDefault="00C63A95" w:rsidP="00760892">
            <w:pPr>
              <w:spacing w:after="0" w:line="240" w:lineRule="auto"/>
            </w:pPr>
            <w:r>
              <w:t>Operational Readiness Review</w:t>
            </w:r>
          </w:p>
        </w:tc>
      </w:tr>
      <w:tr w:rsidR="00C63A95" w:rsidRPr="00653F73" w:rsidTr="000A4BB5">
        <w:trPr>
          <w:trHeight w:val="582"/>
          <w:jc w:val="center"/>
        </w:trPr>
        <w:tc>
          <w:tcPr>
            <w:tcW w:w="1332" w:type="dxa"/>
            <w:vAlign w:val="center"/>
          </w:tcPr>
          <w:p w:rsidR="00C63A95" w:rsidRDefault="00C63A95" w:rsidP="00760892">
            <w:pPr>
              <w:spacing w:after="0" w:line="240" w:lineRule="auto"/>
            </w:pPr>
            <w:r>
              <w:t xml:space="preserve">PEP </w:t>
            </w:r>
          </w:p>
        </w:tc>
        <w:tc>
          <w:tcPr>
            <w:tcW w:w="7448" w:type="dxa"/>
            <w:vAlign w:val="center"/>
          </w:tcPr>
          <w:p w:rsidR="00C63A95" w:rsidRDefault="00BA0B0E" w:rsidP="00760892">
            <w:pPr>
              <w:spacing w:after="0" w:line="240" w:lineRule="auto"/>
            </w:pPr>
            <w:r>
              <w:t>Post</w:t>
            </w:r>
            <w:r w:rsidR="000A4BB5">
              <w:t xml:space="preserve"> Exposure Prophylaxis</w:t>
            </w:r>
          </w:p>
        </w:tc>
      </w:tr>
      <w:tr w:rsidR="000A4BB5" w:rsidRPr="00653F73" w:rsidTr="000A4BB5">
        <w:trPr>
          <w:trHeight w:val="582"/>
          <w:jc w:val="center"/>
        </w:trPr>
        <w:tc>
          <w:tcPr>
            <w:tcW w:w="1332" w:type="dxa"/>
            <w:vAlign w:val="center"/>
          </w:tcPr>
          <w:p w:rsidR="000A4BB5" w:rsidRDefault="000A4BB5" w:rsidP="00760892">
            <w:pPr>
              <w:spacing w:after="0" w:line="240" w:lineRule="auto"/>
            </w:pPr>
            <w:r>
              <w:t>POC</w:t>
            </w:r>
          </w:p>
        </w:tc>
        <w:tc>
          <w:tcPr>
            <w:tcW w:w="7448" w:type="dxa"/>
            <w:vAlign w:val="center"/>
          </w:tcPr>
          <w:p w:rsidR="000A4BB5" w:rsidRDefault="000A4BB5" w:rsidP="00760892">
            <w:pPr>
              <w:spacing w:after="0" w:line="240" w:lineRule="auto"/>
            </w:pPr>
            <w:r>
              <w:t>Point of Contact</w:t>
            </w:r>
          </w:p>
        </w:tc>
      </w:tr>
      <w:tr w:rsidR="002C5173" w:rsidRPr="00653F73" w:rsidTr="000A4BB5">
        <w:trPr>
          <w:trHeight w:val="582"/>
          <w:jc w:val="center"/>
        </w:trPr>
        <w:tc>
          <w:tcPr>
            <w:tcW w:w="1332" w:type="dxa"/>
            <w:vAlign w:val="center"/>
          </w:tcPr>
          <w:p w:rsidR="002C5173" w:rsidRPr="00CB6BF5" w:rsidRDefault="002C5173" w:rsidP="00760892">
            <w:pPr>
              <w:spacing w:after="0" w:line="240" w:lineRule="auto"/>
            </w:pPr>
            <w:proofErr w:type="spellStart"/>
            <w:r w:rsidRPr="00CB6BF5">
              <w:t>SitMan</w:t>
            </w:r>
            <w:proofErr w:type="spellEnd"/>
          </w:p>
        </w:tc>
        <w:tc>
          <w:tcPr>
            <w:tcW w:w="7448" w:type="dxa"/>
            <w:vAlign w:val="center"/>
          </w:tcPr>
          <w:p w:rsidR="002C5173" w:rsidRPr="00CB6BF5" w:rsidRDefault="002C5173" w:rsidP="00760892">
            <w:pPr>
              <w:spacing w:after="0" w:line="240" w:lineRule="auto"/>
            </w:pPr>
            <w:r w:rsidRPr="00CB6BF5">
              <w:t>Situation Manual</w:t>
            </w:r>
          </w:p>
        </w:tc>
      </w:tr>
      <w:tr w:rsidR="000A4BB5" w:rsidRPr="00653F73" w:rsidTr="000A4BB5">
        <w:trPr>
          <w:trHeight w:val="582"/>
          <w:jc w:val="center"/>
        </w:trPr>
        <w:tc>
          <w:tcPr>
            <w:tcW w:w="1332" w:type="dxa"/>
            <w:vAlign w:val="center"/>
          </w:tcPr>
          <w:p w:rsidR="000A4BB5" w:rsidRPr="00CB6BF5" w:rsidRDefault="000A4BB5" w:rsidP="00760892">
            <w:pPr>
              <w:spacing w:after="0" w:line="240" w:lineRule="auto"/>
            </w:pPr>
            <w:r>
              <w:t>SNS</w:t>
            </w:r>
          </w:p>
        </w:tc>
        <w:tc>
          <w:tcPr>
            <w:tcW w:w="7448" w:type="dxa"/>
            <w:vAlign w:val="center"/>
          </w:tcPr>
          <w:p w:rsidR="000A4BB5" w:rsidRPr="00CB6BF5" w:rsidRDefault="000A4BB5" w:rsidP="00760892">
            <w:pPr>
              <w:spacing w:after="0" w:line="240" w:lineRule="auto"/>
            </w:pPr>
            <w:r>
              <w:t>Strategic National Stockpile</w:t>
            </w:r>
          </w:p>
        </w:tc>
      </w:tr>
    </w:tbl>
    <w:p w:rsidR="00DE4979" w:rsidRPr="00347A79" w:rsidRDefault="00DE4979" w:rsidP="00AF4295">
      <w:pPr>
        <w:pStyle w:val="ListParagraph"/>
        <w:numPr>
          <w:ilvl w:val="0"/>
          <w:numId w:val="18"/>
        </w:numPr>
        <w:sectPr w:rsidR="00DE4979" w:rsidRPr="00347A79" w:rsidSect="000305A8">
          <w:pgSz w:w="12240" w:h="15840"/>
          <w:pgMar w:top="1440" w:right="1440" w:bottom="1440" w:left="1440" w:header="720" w:footer="720" w:gutter="0"/>
          <w:cols w:space="720"/>
          <w:docGrid w:linePitch="360"/>
        </w:sectPr>
      </w:pPr>
    </w:p>
    <w:p w:rsidR="002C5173" w:rsidRPr="0088620C" w:rsidRDefault="002C5173" w:rsidP="002C5173">
      <w:pPr>
        <w:pStyle w:val="Title"/>
        <w:rPr>
          <w:sz w:val="40"/>
          <w:szCs w:val="40"/>
        </w:rPr>
      </w:pPr>
      <w:r w:rsidRPr="0088620C">
        <w:rPr>
          <w:sz w:val="40"/>
          <w:szCs w:val="40"/>
        </w:rPr>
        <w:t>Notes</w:t>
      </w:r>
    </w:p>
    <w:p w:rsidR="00931F3A" w:rsidRDefault="003A459F">
      <w:pPr>
        <w:spacing w:after="0" w:line="360" w:lineRule="auto"/>
        <w:rPr>
          <w:rFonts w:ascii="Calibri" w:eastAsia="Calibri" w:hAnsi="Calibri" w:cs="Times New Roman"/>
          <w:b/>
          <w:sz w:val="24"/>
          <w:szCs w:val="24"/>
        </w:rPr>
      </w:pPr>
      <w:r>
        <w:rPr>
          <w:rFonts w:ascii="Calibri" w:eastAsia="Calibri" w:hAnsi="Calibri" w:cs="Times New Roman"/>
          <w:sz w:val="24"/>
          <w:szCs w:val="24"/>
        </w:rPr>
        <w:t>_</w:t>
      </w:r>
      <w:r w:rsidR="002C5173" w:rsidRPr="00395724">
        <w:rPr>
          <w:rFonts w:ascii="Calibri" w:eastAsia="Calibri" w:hAnsi="Calibri"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5173">
        <w:rPr>
          <w:rFonts w:ascii="Calibri" w:eastAsia="Calibri" w:hAnsi="Calibri" w:cs="Times New Roman"/>
          <w:b/>
          <w:sz w:val="24"/>
          <w:szCs w:val="24"/>
        </w:rPr>
        <w:t>__________________________________________</w:t>
      </w:r>
      <w:r w:rsidR="002C5173" w:rsidRPr="00395724">
        <w:rPr>
          <w:rFonts w:ascii="Calibri" w:eastAsia="Calibri" w:hAnsi="Calibri" w:cs="Times New Roman"/>
          <w:b/>
          <w:sz w:val="24"/>
          <w:szCs w:val="24"/>
        </w:rPr>
        <w:t>___________________________________________________________________________________________________________________________________________________________________________________</w:t>
      </w:r>
      <w:r w:rsidR="002C5173">
        <w:rPr>
          <w:rFonts w:ascii="Calibri" w:eastAsia="Calibri" w:hAnsi="Calibri" w:cs="Times New Roman"/>
          <w:b/>
          <w:sz w:val="24"/>
          <w:szCs w:val="24"/>
        </w:rPr>
        <w:t>______</w:t>
      </w:r>
      <w:r w:rsidR="002C5173" w:rsidRPr="00395724">
        <w:rPr>
          <w:rFonts w:ascii="Calibri" w:eastAsia="Calibri" w:hAnsi="Calibri" w:cs="Times New Roman"/>
          <w:b/>
          <w:sz w:val="24"/>
          <w:szCs w:val="24"/>
        </w:rPr>
        <w:t>_</w:t>
      </w:r>
      <w:r>
        <w:rPr>
          <w:rFonts w:ascii="Calibri" w:eastAsia="Calibri" w:hAnsi="Calibri" w:cs="Times New Roman"/>
          <w:b/>
          <w:sz w:val="24"/>
          <w:szCs w:val="24"/>
        </w:rPr>
        <w:t>_____________________________________________________________________________</w:t>
      </w:r>
      <w:r w:rsidR="002C5173" w:rsidRPr="00395724">
        <w:rPr>
          <w:rFonts w:ascii="Calibri" w:eastAsia="Calibri" w:hAnsi="Calibri" w:cs="Times New Roman"/>
          <w:b/>
          <w:sz w:val="24"/>
          <w:szCs w:val="24"/>
        </w:rPr>
        <w:t>________________________________________________________________________________________________________________________________________________</w:t>
      </w:r>
    </w:p>
    <w:p w:rsidR="00B95A81" w:rsidRDefault="00B95A81" w:rsidP="00931F3A">
      <w:pPr>
        <w:pStyle w:val="Title"/>
        <w:rPr>
          <w:sz w:val="44"/>
          <w:szCs w:val="44"/>
        </w:rPr>
      </w:pPr>
    </w:p>
    <w:p w:rsidR="00B95A81" w:rsidRDefault="00B95A81" w:rsidP="00931F3A">
      <w:pPr>
        <w:pStyle w:val="Title"/>
        <w:rPr>
          <w:sz w:val="44"/>
          <w:szCs w:val="44"/>
        </w:rPr>
      </w:pPr>
    </w:p>
    <w:p w:rsidR="00931F3A" w:rsidRPr="00BD2364" w:rsidRDefault="00931F3A" w:rsidP="00931F3A">
      <w:pPr>
        <w:pStyle w:val="Title"/>
        <w:rPr>
          <w:sz w:val="44"/>
          <w:szCs w:val="44"/>
        </w:rPr>
      </w:pPr>
      <w:r>
        <w:rPr>
          <w:sz w:val="44"/>
          <w:szCs w:val="44"/>
        </w:rPr>
        <w:t>Notes</w:t>
      </w:r>
    </w:p>
    <w:p w:rsidR="00931F3A" w:rsidRDefault="00931F3A" w:rsidP="00931F3A">
      <w:pPr>
        <w:spacing w:after="0" w:line="360" w:lineRule="auto"/>
        <w:rPr>
          <w:sz w:val="44"/>
          <w:szCs w:val="44"/>
        </w:rPr>
      </w:pPr>
      <w:r>
        <w:rPr>
          <w:rFonts w:ascii="Calibri" w:eastAsia="Calibri" w:hAnsi="Calibri" w:cs="Times New Roman"/>
          <w:sz w:val="24"/>
          <w:szCs w:val="24"/>
        </w:rPr>
        <w:t>_</w:t>
      </w:r>
      <w:r w:rsidRPr="00395724">
        <w:rPr>
          <w:rFonts w:ascii="Calibri" w:eastAsia="Calibri" w:hAnsi="Calibri"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b/>
          <w:sz w:val="24"/>
          <w:szCs w:val="24"/>
        </w:rPr>
        <w:t>__________________________________________</w:t>
      </w:r>
      <w:r w:rsidRPr="00395724">
        <w:rPr>
          <w:rFonts w:ascii="Calibri" w:eastAsia="Calibri" w:hAnsi="Calibri" w:cs="Times New Roman"/>
          <w:b/>
          <w:sz w:val="24"/>
          <w:szCs w:val="24"/>
        </w:rPr>
        <w:t>___________________________________________________________________________________________________________________________________________________________________________________</w:t>
      </w:r>
      <w:r>
        <w:rPr>
          <w:rFonts w:ascii="Calibri" w:eastAsia="Calibri" w:hAnsi="Calibri" w:cs="Times New Roman"/>
          <w:b/>
          <w:sz w:val="24"/>
          <w:szCs w:val="24"/>
        </w:rPr>
        <w:t>______</w:t>
      </w:r>
      <w:r w:rsidRPr="00395724">
        <w:rPr>
          <w:rFonts w:ascii="Calibri" w:eastAsia="Calibri" w:hAnsi="Calibri" w:cs="Times New Roman"/>
          <w:b/>
          <w:sz w:val="24"/>
          <w:szCs w:val="24"/>
        </w:rPr>
        <w:t>_</w:t>
      </w:r>
      <w:r>
        <w:rPr>
          <w:rFonts w:ascii="Calibri" w:eastAsia="Calibri" w:hAnsi="Calibri" w:cs="Times New Roman"/>
          <w:b/>
          <w:sz w:val="24"/>
          <w:szCs w:val="24"/>
        </w:rPr>
        <w:t>_____________________________________________________________________________</w:t>
      </w:r>
      <w:r w:rsidRPr="00395724">
        <w:rPr>
          <w:rFonts w:ascii="Calibri" w:eastAsia="Calibri" w:hAnsi="Calibri"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4"/>
          <w:szCs w:val="44"/>
        </w:rPr>
        <w:br w:type="page"/>
      </w:r>
    </w:p>
    <w:p w:rsidR="002C5173" w:rsidRPr="00F52B1E" w:rsidRDefault="002C5173" w:rsidP="00931F3A">
      <w:pPr>
        <w:pStyle w:val="Title"/>
        <w:spacing w:after="0"/>
        <w:rPr>
          <w:sz w:val="44"/>
          <w:szCs w:val="44"/>
        </w:rPr>
      </w:pPr>
      <w:r w:rsidRPr="00F52B1E">
        <w:rPr>
          <w:sz w:val="44"/>
          <w:szCs w:val="44"/>
        </w:rPr>
        <w:t>Post-Exercise Evaluation</w:t>
      </w:r>
    </w:p>
    <w:p w:rsidR="002C5173" w:rsidRPr="00C3273E" w:rsidRDefault="002C5173" w:rsidP="002C5173">
      <w:pPr>
        <w:pStyle w:val="Header"/>
        <w:tabs>
          <w:tab w:val="left" w:pos="0"/>
        </w:tabs>
        <w:rPr>
          <w:b/>
          <w:bCs/>
          <w:iCs/>
          <w:sz w:val="24"/>
          <w:szCs w:val="24"/>
        </w:rPr>
      </w:pPr>
      <w:r w:rsidRPr="00C3273E">
        <w:rPr>
          <w:iCs/>
          <w:sz w:val="24"/>
          <w:szCs w:val="24"/>
        </w:rPr>
        <w:t xml:space="preserve">Please rate, on a scale of 1 to 5, your overall assessment of the exercise relative to the statements provided below, with </w:t>
      </w:r>
      <w:r w:rsidRPr="00C3273E">
        <w:rPr>
          <w:b/>
          <w:bCs/>
          <w:iCs/>
          <w:sz w:val="24"/>
          <w:szCs w:val="24"/>
        </w:rPr>
        <w:t>1</w:t>
      </w:r>
      <w:r w:rsidRPr="00C3273E">
        <w:rPr>
          <w:iCs/>
          <w:sz w:val="24"/>
          <w:szCs w:val="24"/>
        </w:rPr>
        <w:t xml:space="preserve"> indicating </w:t>
      </w:r>
      <w:r w:rsidRPr="00C3273E">
        <w:rPr>
          <w:b/>
          <w:bCs/>
          <w:iCs/>
          <w:sz w:val="24"/>
          <w:szCs w:val="24"/>
        </w:rPr>
        <w:t>strong disagreement</w:t>
      </w:r>
      <w:r w:rsidRPr="00C3273E">
        <w:rPr>
          <w:iCs/>
          <w:sz w:val="24"/>
          <w:szCs w:val="24"/>
        </w:rPr>
        <w:t xml:space="preserve"> with the statement and </w:t>
      </w:r>
      <w:r w:rsidRPr="00C3273E">
        <w:rPr>
          <w:b/>
          <w:bCs/>
          <w:iCs/>
          <w:sz w:val="24"/>
          <w:szCs w:val="24"/>
        </w:rPr>
        <w:t>5</w:t>
      </w:r>
      <w:r w:rsidRPr="00C3273E">
        <w:rPr>
          <w:iCs/>
          <w:sz w:val="24"/>
          <w:szCs w:val="24"/>
        </w:rPr>
        <w:t xml:space="preserve"> indicating </w:t>
      </w:r>
      <w:r w:rsidRPr="00C3273E">
        <w:rPr>
          <w:b/>
          <w:bCs/>
          <w:iCs/>
          <w:sz w:val="24"/>
          <w:szCs w:val="24"/>
        </w:rPr>
        <w:t>strong agreement.</w:t>
      </w:r>
    </w:p>
    <w:p w:rsidR="002C5173" w:rsidRDefault="002C5173" w:rsidP="002C5173">
      <w:pPr>
        <w:pStyle w:val="Header"/>
        <w:tabs>
          <w:tab w:val="left" w:pos="540"/>
        </w:tabs>
        <w:ind w:left="540" w:hanging="540"/>
        <w:rPr>
          <w:sz w:val="18"/>
        </w:rPr>
      </w:pPr>
    </w:p>
    <w:p w:rsidR="002C5173" w:rsidRPr="002F2808" w:rsidRDefault="002C5173" w:rsidP="002C5173">
      <w:pPr>
        <w:spacing w:after="120"/>
        <w:ind w:left="-360" w:right="-360" w:firstLine="360"/>
        <w:rPr>
          <w:rFonts w:ascii="Arial" w:hAnsi="Arial" w:cs="Arial"/>
          <w:i/>
        </w:rPr>
      </w:pPr>
      <w:r>
        <w:rPr>
          <w:rFonts w:ascii="Arial" w:hAnsi="Arial" w:cs="Arial"/>
          <w:i/>
        </w:rPr>
        <w:t>Workshop</w:t>
      </w:r>
      <w:r w:rsidRPr="002F2808">
        <w:rPr>
          <w:rFonts w:ascii="Arial" w:hAnsi="Arial" w:cs="Arial"/>
          <w:i/>
        </w:rPr>
        <w:t xml:space="preserve"> Assessment</w:t>
      </w:r>
      <w:r>
        <w:rPr>
          <w:rFonts w:ascii="Arial" w:hAnsi="Arial" w:cs="Arial"/>
          <w:i/>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5048"/>
        <w:gridCol w:w="777"/>
        <w:gridCol w:w="777"/>
        <w:gridCol w:w="582"/>
        <w:gridCol w:w="194"/>
        <w:gridCol w:w="777"/>
        <w:gridCol w:w="777"/>
      </w:tblGrid>
      <w:tr w:rsidR="002C5173" w:rsidRPr="00006678" w:rsidTr="009D08C5">
        <w:trPr>
          <w:trHeight w:val="683"/>
          <w:tblHeader/>
          <w:jc w:val="center"/>
        </w:trPr>
        <w:tc>
          <w:tcPr>
            <w:tcW w:w="5476" w:type="dxa"/>
            <w:gridSpan w:val="2"/>
            <w:tcBorders>
              <w:top w:val="single" w:sz="4" w:space="0" w:color="000080"/>
              <w:left w:val="single" w:sz="4" w:space="0" w:color="000080"/>
              <w:bottom w:val="single" w:sz="4" w:space="0" w:color="auto"/>
              <w:right w:val="single" w:sz="4" w:space="0" w:color="FFFFFF"/>
            </w:tcBorders>
            <w:shd w:val="clear" w:color="auto" w:fill="244061" w:themeFill="accent1" w:themeFillShade="80"/>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b/>
                <w:color w:val="FFFFFF"/>
                <w:sz w:val="20"/>
              </w:rPr>
            </w:pPr>
            <w:r w:rsidRPr="00006678">
              <w:rPr>
                <w:rFonts w:ascii="Arial" w:hAnsi="Arial" w:cs="Arial"/>
                <w:b/>
                <w:color w:val="FFFFFF"/>
                <w:sz w:val="20"/>
              </w:rPr>
              <w:t>Assessment Factor</w:t>
            </w:r>
          </w:p>
        </w:tc>
        <w:tc>
          <w:tcPr>
            <w:tcW w:w="2136" w:type="dxa"/>
            <w:gridSpan w:val="3"/>
            <w:tcBorders>
              <w:top w:val="single" w:sz="4" w:space="0" w:color="000080"/>
              <w:left w:val="single" w:sz="4" w:space="0" w:color="FFFFFF"/>
              <w:bottom w:val="single" w:sz="4" w:space="0" w:color="000080"/>
              <w:right w:val="single" w:sz="4" w:space="0" w:color="000080"/>
            </w:tcBorders>
            <w:shd w:val="clear" w:color="auto" w:fill="244061" w:themeFill="accent1" w:themeFillShade="80"/>
            <w:tcMar>
              <w:top w:w="58" w:type="dxa"/>
              <w:left w:w="115" w:type="dxa"/>
              <w:bottom w:w="58" w:type="dxa"/>
              <w:right w:w="115" w:type="dxa"/>
            </w:tcMar>
            <w:vAlign w:val="center"/>
          </w:tcPr>
          <w:p w:rsidR="002C5173" w:rsidRPr="00006678" w:rsidRDefault="002C5173" w:rsidP="00760892">
            <w:pPr>
              <w:pStyle w:val="Header"/>
              <w:tabs>
                <w:tab w:val="left" w:pos="540"/>
              </w:tabs>
              <w:rPr>
                <w:rFonts w:ascii="Arial" w:hAnsi="Arial" w:cs="Arial"/>
                <w:b/>
                <w:color w:val="FFFFFF"/>
                <w:sz w:val="20"/>
              </w:rPr>
            </w:pPr>
            <w:r w:rsidRPr="00006678">
              <w:rPr>
                <w:rFonts w:ascii="Arial" w:hAnsi="Arial" w:cs="Arial"/>
                <w:b/>
                <w:color w:val="FFFFFF"/>
                <w:sz w:val="20"/>
              </w:rPr>
              <w:t xml:space="preserve">Strongly </w:t>
            </w:r>
          </w:p>
          <w:p w:rsidR="002C5173" w:rsidRPr="00006678" w:rsidRDefault="002C5173" w:rsidP="00760892">
            <w:pPr>
              <w:pStyle w:val="Header"/>
              <w:tabs>
                <w:tab w:val="left" w:pos="540"/>
              </w:tabs>
              <w:rPr>
                <w:rFonts w:ascii="Arial" w:hAnsi="Arial" w:cs="Arial"/>
                <w:b/>
                <w:color w:val="FFFFFF"/>
                <w:sz w:val="20"/>
              </w:rPr>
            </w:pPr>
            <w:r w:rsidRPr="00006678">
              <w:rPr>
                <w:rFonts w:ascii="Arial" w:hAnsi="Arial" w:cs="Arial"/>
                <w:b/>
                <w:color w:val="FFFFFF"/>
                <w:sz w:val="20"/>
              </w:rPr>
              <w:t>Disagree</w:t>
            </w:r>
          </w:p>
        </w:tc>
        <w:tc>
          <w:tcPr>
            <w:tcW w:w="1748" w:type="dxa"/>
            <w:gridSpan w:val="3"/>
            <w:tcBorders>
              <w:top w:val="single" w:sz="4" w:space="0" w:color="000080"/>
              <w:left w:val="single" w:sz="4" w:space="0" w:color="000080"/>
              <w:bottom w:val="single" w:sz="4" w:space="0" w:color="000080"/>
              <w:right w:val="single" w:sz="4" w:space="0" w:color="000080"/>
            </w:tcBorders>
            <w:shd w:val="clear" w:color="auto" w:fill="244061" w:themeFill="accent1" w:themeFillShade="80"/>
            <w:tcMar>
              <w:top w:w="58" w:type="dxa"/>
              <w:left w:w="115" w:type="dxa"/>
              <w:bottom w:w="58" w:type="dxa"/>
              <w:right w:w="115" w:type="dxa"/>
            </w:tcMar>
            <w:vAlign w:val="center"/>
          </w:tcPr>
          <w:p w:rsidR="002C5173" w:rsidRPr="00006678" w:rsidRDefault="002C5173" w:rsidP="00760892">
            <w:pPr>
              <w:pStyle w:val="Header"/>
              <w:tabs>
                <w:tab w:val="left" w:pos="540"/>
              </w:tabs>
              <w:jc w:val="right"/>
              <w:rPr>
                <w:rFonts w:ascii="Arial" w:hAnsi="Arial" w:cs="Arial"/>
                <w:b/>
                <w:color w:val="FFFFFF"/>
                <w:sz w:val="20"/>
              </w:rPr>
            </w:pPr>
            <w:r w:rsidRPr="00006678">
              <w:rPr>
                <w:rFonts w:ascii="Arial" w:hAnsi="Arial" w:cs="Arial"/>
                <w:b/>
                <w:color w:val="FFFFFF"/>
                <w:sz w:val="20"/>
              </w:rPr>
              <w:t>Strongly Agree</w:t>
            </w:r>
          </w:p>
        </w:tc>
      </w:tr>
      <w:tr w:rsidR="002C5173" w:rsidRPr="00006678" w:rsidTr="009D08C5">
        <w:trPr>
          <w:trHeight w:val="720"/>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a.</w:t>
            </w:r>
          </w:p>
        </w:tc>
        <w:tc>
          <w:tcPr>
            <w:tcW w:w="5048" w:type="dxa"/>
            <w:tcBorders>
              <w:lef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rPr>
                <w:rFonts w:ascii="Arial" w:hAnsi="Arial" w:cs="Arial"/>
                <w:sz w:val="20"/>
              </w:rPr>
            </w:pPr>
            <w:r>
              <w:rPr>
                <w:rFonts w:ascii="Arial" w:hAnsi="Arial" w:cs="Arial"/>
                <w:sz w:val="20"/>
              </w:rPr>
              <w:t>The workshop increased my knowledge of considerations in planning for extended distribution mechanisms.</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r w:rsidR="002C5173" w:rsidRPr="00006678" w:rsidTr="009D08C5">
        <w:trPr>
          <w:trHeight w:val="720"/>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rPr>
                <w:rFonts w:ascii="Arial" w:hAnsi="Arial" w:cs="Arial"/>
                <w:sz w:val="20"/>
              </w:rPr>
            </w:pPr>
            <w:r>
              <w:rPr>
                <w:rFonts w:ascii="Arial" w:hAnsi="Arial" w:cs="Arial"/>
                <w:sz w:val="20"/>
              </w:rPr>
              <w:t xml:space="preserve">b. </w:t>
            </w:r>
          </w:p>
        </w:tc>
        <w:tc>
          <w:tcPr>
            <w:tcW w:w="5048"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Pr>
                <w:rFonts w:ascii="Arial" w:hAnsi="Arial" w:cs="Arial"/>
                <w:sz w:val="20"/>
              </w:rPr>
              <w:t xml:space="preserve">The workshop increased my knowledge of dispensing strategies as it relates to a long-term response in my community. </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5</w:t>
            </w:r>
          </w:p>
        </w:tc>
      </w:tr>
      <w:tr w:rsidR="002C5173" w:rsidRPr="00006678" w:rsidTr="009D08C5">
        <w:trPr>
          <w:trHeight w:val="720"/>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c.</w:t>
            </w:r>
          </w:p>
        </w:tc>
        <w:tc>
          <w:tcPr>
            <w:tcW w:w="5048"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Pr>
                <w:rFonts w:ascii="Arial" w:hAnsi="Arial" w:cs="Arial"/>
                <w:sz w:val="20"/>
              </w:rPr>
              <w:t xml:space="preserve">The workshop </w:t>
            </w:r>
            <w:r w:rsidRPr="00F86CF6">
              <w:rPr>
                <w:rFonts w:ascii="Arial" w:hAnsi="Arial" w:cs="Arial"/>
                <w:sz w:val="20"/>
              </w:rPr>
              <w:t xml:space="preserve">increased </w:t>
            </w:r>
            <w:r>
              <w:rPr>
                <w:rFonts w:ascii="Arial" w:hAnsi="Arial" w:cs="Arial"/>
                <w:sz w:val="20"/>
              </w:rPr>
              <w:t xml:space="preserve">my </w:t>
            </w:r>
            <w:r w:rsidRPr="00F86CF6">
              <w:rPr>
                <w:rFonts w:ascii="Arial" w:hAnsi="Arial" w:cs="Arial"/>
                <w:sz w:val="20"/>
              </w:rPr>
              <w:t>knowledge</w:t>
            </w:r>
            <w:r>
              <w:rPr>
                <w:rFonts w:ascii="Arial" w:hAnsi="Arial" w:cs="Arial"/>
                <w:sz w:val="20"/>
              </w:rPr>
              <w:t xml:space="preserve"> of specific actions for community preparedness in developing long-term plans. </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r w:rsidR="002C5173" w:rsidRPr="00006678" w:rsidTr="009D08C5">
        <w:trPr>
          <w:trHeight w:val="720"/>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d.</w:t>
            </w:r>
          </w:p>
        </w:tc>
        <w:tc>
          <w:tcPr>
            <w:tcW w:w="5048"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Pr>
                <w:rFonts w:ascii="Arial" w:hAnsi="Arial" w:cs="Arial"/>
                <w:sz w:val="20"/>
              </w:rPr>
              <w:t xml:space="preserve">The workshop </w:t>
            </w:r>
            <w:r w:rsidRPr="00FD3D59">
              <w:rPr>
                <w:rFonts w:ascii="Arial" w:hAnsi="Arial" w:cs="Arial"/>
                <w:sz w:val="20"/>
              </w:rPr>
              <w:t>increased</w:t>
            </w:r>
            <w:r>
              <w:rPr>
                <w:rFonts w:ascii="Arial" w:hAnsi="Arial" w:cs="Arial"/>
                <w:sz w:val="20"/>
              </w:rPr>
              <w:t xml:space="preserve"> my</w:t>
            </w:r>
            <w:r w:rsidRPr="00FD3D59">
              <w:rPr>
                <w:rFonts w:ascii="Arial" w:hAnsi="Arial" w:cs="Arial"/>
                <w:sz w:val="20"/>
              </w:rPr>
              <w:t xml:space="preserve"> knowledge of </w:t>
            </w:r>
            <w:r>
              <w:rPr>
                <w:rFonts w:ascii="Arial" w:hAnsi="Arial" w:cs="Arial"/>
                <w:sz w:val="20"/>
              </w:rPr>
              <w:t>planning for a non-medical vs. a medical model and what elements differ in a long-term response.</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r w:rsidR="002C5173" w:rsidRPr="00006678" w:rsidTr="009D08C5">
        <w:trPr>
          <w:trHeight w:val="720"/>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rPr>
                <w:rFonts w:ascii="Arial" w:hAnsi="Arial" w:cs="Arial"/>
                <w:sz w:val="20"/>
              </w:rPr>
            </w:pPr>
            <w:r>
              <w:rPr>
                <w:rFonts w:ascii="Arial" w:hAnsi="Arial" w:cs="Arial"/>
                <w:sz w:val="20"/>
              </w:rPr>
              <w:t>e.</w:t>
            </w:r>
          </w:p>
        </w:tc>
        <w:tc>
          <w:tcPr>
            <w:tcW w:w="5048"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Pr>
                <w:rFonts w:ascii="Arial" w:hAnsi="Arial" w:cs="Arial"/>
                <w:sz w:val="20"/>
              </w:rPr>
              <w:t xml:space="preserve">The workshop </w:t>
            </w:r>
            <w:r w:rsidRPr="00F86CF6">
              <w:rPr>
                <w:rFonts w:ascii="Arial" w:hAnsi="Arial" w:cs="Arial"/>
                <w:sz w:val="20"/>
              </w:rPr>
              <w:t xml:space="preserve">increased </w:t>
            </w:r>
            <w:r>
              <w:rPr>
                <w:rFonts w:ascii="Arial" w:hAnsi="Arial" w:cs="Arial"/>
                <w:sz w:val="20"/>
              </w:rPr>
              <w:t xml:space="preserve">my </w:t>
            </w:r>
            <w:r w:rsidRPr="00F86CF6">
              <w:rPr>
                <w:rFonts w:ascii="Arial" w:hAnsi="Arial" w:cs="Arial"/>
                <w:sz w:val="20"/>
              </w:rPr>
              <w:t xml:space="preserve">knowledge of </w:t>
            </w:r>
            <w:r>
              <w:rPr>
                <w:rFonts w:ascii="Arial" w:hAnsi="Arial" w:cs="Arial"/>
                <w:sz w:val="20"/>
              </w:rPr>
              <w:t xml:space="preserve">how communication considerations and information sharing will play a key role in a long-term response. </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r w:rsidR="002C5173" w:rsidRPr="00006678" w:rsidTr="009D08C5">
        <w:trPr>
          <w:trHeight w:val="720"/>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f.</w:t>
            </w:r>
          </w:p>
        </w:tc>
        <w:tc>
          <w:tcPr>
            <w:tcW w:w="5048"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Pr>
                <w:rFonts w:ascii="Arial" w:hAnsi="Arial" w:cs="Arial"/>
                <w:sz w:val="20"/>
              </w:rPr>
              <w:t xml:space="preserve">The workshop </w:t>
            </w:r>
            <w:r w:rsidRPr="00F86CF6">
              <w:rPr>
                <w:rFonts w:ascii="Arial" w:hAnsi="Arial" w:cs="Arial"/>
                <w:sz w:val="20"/>
              </w:rPr>
              <w:t>increased</w:t>
            </w:r>
            <w:r>
              <w:rPr>
                <w:rFonts w:ascii="Arial" w:hAnsi="Arial" w:cs="Arial"/>
                <w:sz w:val="20"/>
              </w:rPr>
              <w:t xml:space="preserve"> my</w:t>
            </w:r>
            <w:r w:rsidRPr="00F86CF6">
              <w:rPr>
                <w:rFonts w:ascii="Arial" w:hAnsi="Arial" w:cs="Arial"/>
                <w:sz w:val="20"/>
              </w:rPr>
              <w:t xml:space="preserve"> knowledge of</w:t>
            </w:r>
            <w:r>
              <w:rPr>
                <w:rFonts w:ascii="Arial" w:hAnsi="Arial" w:cs="Arial"/>
                <w:sz w:val="20"/>
              </w:rPr>
              <w:t xml:space="preserve"> how responder safety and health risks are important to long-term planning.</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r w:rsidR="002C5173" w:rsidRPr="00006678" w:rsidTr="009D08C5">
        <w:trPr>
          <w:trHeight w:val="720"/>
          <w:tblHeader/>
          <w:jc w:val="center"/>
        </w:trPr>
        <w:tc>
          <w:tcPr>
            <w:tcW w:w="428"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g.</w:t>
            </w:r>
          </w:p>
        </w:tc>
        <w:tc>
          <w:tcPr>
            <w:tcW w:w="5048"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Pr>
                <w:rFonts w:ascii="Arial" w:hAnsi="Arial" w:cs="Arial"/>
                <w:sz w:val="20"/>
              </w:rPr>
              <w:t xml:space="preserve">The workshop </w:t>
            </w:r>
            <w:r w:rsidRPr="00F86CF6">
              <w:rPr>
                <w:rFonts w:ascii="Arial" w:hAnsi="Arial" w:cs="Arial"/>
                <w:sz w:val="20"/>
              </w:rPr>
              <w:t>increased</w:t>
            </w:r>
            <w:r>
              <w:rPr>
                <w:rFonts w:ascii="Arial" w:hAnsi="Arial" w:cs="Arial"/>
                <w:sz w:val="20"/>
              </w:rPr>
              <w:t xml:space="preserve"> my</w:t>
            </w:r>
            <w:r w:rsidRPr="00F86CF6">
              <w:rPr>
                <w:rFonts w:ascii="Arial" w:hAnsi="Arial" w:cs="Arial"/>
                <w:sz w:val="20"/>
              </w:rPr>
              <w:t xml:space="preserve"> knowledge</w:t>
            </w:r>
            <w:r>
              <w:rPr>
                <w:rFonts w:ascii="Arial" w:hAnsi="Arial" w:cs="Arial"/>
                <w:sz w:val="20"/>
              </w:rPr>
              <w:t xml:space="preserve"> of how volunteers needed for staff augmentation will make or break a long-term response. </w:t>
            </w:r>
          </w:p>
        </w:tc>
        <w:tc>
          <w:tcPr>
            <w:tcW w:w="777"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76"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77"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77"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bl>
    <w:p w:rsidR="00FF6B78" w:rsidRDefault="00FF6B78" w:rsidP="00931F3A">
      <w:pPr>
        <w:spacing w:before="120" w:after="120"/>
        <w:ind w:right="-360"/>
        <w:rPr>
          <w:rFonts w:ascii="Arial" w:hAnsi="Arial" w:cs="Arial"/>
          <w:i/>
        </w:rPr>
      </w:pPr>
    </w:p>
    <w:p w:rsidR="002C5173" w:rsidRPr="002F2808" w:rsidRDefault="002C5173" w:rsidP="00931F3A">
      <w:pPr>
        <w:spacing w:before="120" w:after="120"/>
        <w:ind w:right="-360"/>
        <w:rPr>
          <w:rFonts w:ascii="Arial" w:hAnsi="Arial" w:cs="Arial"/>
          <w:i/>
        </w:rPr>
      </w:pPr>
      <w:r>
        <w:rPr>
          <w:rFonts w:ascii="Arial" w:hAnsi="Arial" w:cs="Arial"/>
          <w:i/>
        </w:rPr>
        <w:t>Exercise Design</w:t>
      </w:r>
      <w:r w:rsidRPr="002F2808">
        <w:rPr>
          <w:rFonts w:ascii="Arial" w:hAnsi="Arial" w:cs="Arial"/>
          <w:i/>
        </w:rPr>
        <w:t xml:space="preserve"> Assessment</w:t>
      </w:r>
      <w:r>
        <w:rPr>
          <w:rFonts w:ascii="Arial" w:hAnsi="Arial" w:cs="Arial"/>
          <w:i/>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5048"/>
        <w:gridCol w:w="777"/>
        <w:gridCol w:w="777"/>
        <w:gridCol w:w="582"/>
        <w:gridCol w:w="194"/>
        <w:gridCol w:w="777"/>
        <w:gridCol w:w="777"/>
      </w:tblGrid>
      <w:tr w:rsidR="002C5173" w:rsidRPr="00006678" w:rsidTr="0005537E">
        <w:trPr>
          <w:trHeight w:val="576"/>
          <w:tblHeader/>
          <w:jc w:val="center"/>
        </w:trPr>
        <w:tc>
          <w:tcPr>
            <w:tcW w:w="5051" w:type="dxa"/>
            <w:gridSpan w:val="2"/>
            <w:tcBorders>
              <w:top w:val="single" w:sz="4" w:space="0" w:color="000080"/>
              <w:left w:val="single" w:sz="4" w:space="0" w:color="000080"/>
              <w:bottom w:val="single" w:sz="4" w:space="0" w:color="auto"/>
              <w:right w:val="single" w:sz="4" w:space="0" w:color="FFFFFF"/>
            </w:tcBorders>
            <w:shd w:val="clear" w:color="auto" w:fill="244061" w:themeFill="accent1" w:themeFillShade="80"/>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b/>
                <w:color w:val="FFFFFF"/>
                <w:sz w:val="20"/>
              </w:rPr>
            </w:pPr>
            <w:r w:rsidRPr="00006678">
              <w:rPr>
                <w:rFonts w:ascii="Arial" w:hAnsi="Arial" w:cs="Arial"/>
                <w:b/>
                <w:color w:val="FFFFFF"/>
                <w:sz w:val="20"/>
              </w:rPr>
              <w:t>Assessment Factor</w:t>
            </w:r>
          </w:p>
        </w:tc>
        <w:tc>
          <w:tcPr>
            <w:tcW w:w="1974" w:type="dxa"/>
            <w:gridSpan w:val="3"/>
            <w:tcBorders>
              <w:top w:val="single" w:sz="4" w:space="0" w:color="000080"/>
              <w:left w:val="single" w:sz="4" w:space="0" w:color="FFFFFF"/>
              <w:bottom w:val="single" w:sz="4" w:space="0" w:color="000080"/>
              <w:right w:val="single" w:sz="4" w:space="0" w:color="000080"/>
            </w:tcBorders>
            <w:shd w:val="clear" w:color="auto" w:fill="244061" w:themeFill="accent1" w:themeFillShade="80"/>
            <w:tcMar>
              <w:top w:w="58" w:type="dxa"/>
              <w:left w:w="115" w:type="dxa"/>
              <w:bottom w:w="58" w:type="dxa"/>
              <w:right w:w="115" w:type="dxa"/>
            </w:tcMar>
            <w:vAlign w:val="center"/>
          </w:tcPr>
          <w:p w:rsidR="002C5173" w:rsidRPr="00006678" w:rsidRDefault="002C5173" w:rsidP="00760892">
            <w:pPr>
              <w:pStyle w:val="Header"/>
              <w:tabs>
                <w:tab w:val="left" w:pos="540"/>
              </w:tabs>
              <w:rPr>
                <w:rFonts w:ascii="Arial" w:hAnsi="Arial" w:cs="Arial"/>
                <w:b/>
                <w:color w:val="FFFFFF"/>
                <w:sz w:val="20"/>
              </w:rPr>
            </w:pPr>
            <w:r w:rsidRPr="00006678">
              <w:rPr>
                <w:rFonts w:ascii="Arial" w:hAnsi="Arial" w:cs="Arial"/>
                <w:b/>
                <w:color w:val="FFFFFF"/>
                <w:sz w:val="20"/>
              </w:rPr>
              <w:t xml:space="preserve">Strongly </w:t>
            </w:r>
          </w:p>
          <w:p w:rsidR="002C5173" w:rsidRPr="00006678" w:rsidRDefault="002C5173" w:rsidP="00760892">
            <w:pPr>
              <w:pStyle w:val="Header"/>
              <w:tabs>
                <w:tab w:val="left" w:pos="540"/>
              </w:tabs>
              <w:rPr>
                <w:rFonts w:ascii="Arial" w:hAnsi="Arial" w:cs="Arial"/>
                <w:b/>
                <w:color w:val="FFFFFF"/>
                <w:sz w:val="20"/>
              </w:rPr>
            </w:pPr>
            <w:r w:rsidRPr="00006678">
              <w:rPr>
                <w:rFonts w:ascii="Arial" w:hAnsi="Arial" w:cs="Arial"/>
                <w:b/>
                <w:color w:val="FFFFFF"/>
                <w:sz w:val="20"/>
              </w:rPr>
              <w:t>Disagree</w:t>
            </w:r>
          </w:p>
        </w:tc>
        <w:tc>
          <w:tcPr>
            <w:tcW w:w="1615" w:type="dxa"/>
            <w:gridSpan w:val="3"/>
            <w:tcBorders>
              <w:top w:val="single" w:sz="4" w:space="0" w:color="000080"/>
              <w:left w:val="single" w:sz="4" w:space="0" w:color="000080"/>
              <w:bottom w:val="single" w:sz="4" w:space="0" w:color="000080"/>
              <w:right w:val="single" w:sz="4" w:space="0" w:color="000080"/>
            </w:tcBorders>
            <w:shd w:val="clear" w:color="auto" w:fill="244061" w:themeFill="accent1" w:themeFillShade="80"/>
            <w:tcMar>
              <w:top w:w="58" w:type="dxa"/>
              <w:left w:w="115" w:type="dxa"/>
              <w:bottom w:w="58" w:type="dxa"/>
              <w:right w:w="115" w:type="dxa"/>
            </w:tcMar>
            <w:vAlign w:val="center"/>
          </w:tcPr>
          <w:p w:rsidR="002C5173" w:rsidRPr="00006678" w:rsidRDefault="002C5173" w:rsidP="00760892">
            <w:pPr>
              <w:pStyle w:val="Header"/>
              <w:tabs>
                <w:tab w:val="left" w:pos="540"/>
              </w:tabs>
              <w:jc w:val="right"/>
              <w:rPr>
                <w:rFonts w:ascii="Arial" w:hAnsi="Arial" w:cs="Arial"/>
                <w:b/>
                <w:color w:val="FFFFFF"/>
                <w:sz w:val="20"/>
              </w:rPr>
            </w:pPr>
            <w:r w:rsidRPr="00006678">
              <w:rPr>
                <w:rFonts w:ascii="Arial" w:hAnsi="Arial" w:cs="Arial"/>
                <w:b/>
                <w:color w:val="FFFFFF"/>
                <w:sz w:val="20"/>
              </w:rPr>
              <w:t>Strongly Agree</w:t>
            </w:r>
          </w:p>
        </w:tc>
      </w:tr>
      <w:tr w:rsidR="002C5173" w:rsidRPr="00006678" w:rsidTr="0005537E">
        <w:trPr>
          <w:trHeight w:val="576"/>
          <w:tblHeader/>
          <w:jc w:val="center"/>
        </w:trPr>
        <w:tc>
          <w:tcPr>
            <w:tcW w:w="384"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a.</w:t>
            </w:r>
          </w:p>
        </w:tc>
        <w:tc>
          <w:tcPr>
            <w:tcW w:w="4667" w:type="dxa"/>
            <w:tcBorders>
              <w:lef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rPr>
                <w:rFonts w:ascii="Arial" w:hAnsi="Arial" w:cs="Arial"/>
                <w:sz w:val="20"/>
              </w:rPr>
            </w:pPr>
            <w:r w:rsidRPr="007811A7">
              <w:rPr>
                <w:rFonts w:ascii="Arial" w:hAnsi="Arial" w:cs="Arial"/>
                <w:sz w:val="20"/>
              </w:rPr>
              <w:t>The exercise wa</w:t>
            </w:r>
            <w:r>
              <w:rPr>
                <w:rFonts w:ascii="Arial" w:hAnsi="Arial" w:cs="Arial"/>
                <w:sz w:val="20"/>
              </w:rPr>
              <w:t>s well-structured and organized</w:t>
            </w:r>
          </w:p>
        </w:tc>
        <w:tc>
          <w:tcPr>
            <w:tcW w:w="718"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17"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18"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r w:rsidR="002C5173" w:rsidRPr="00006678" w:rsidTr="0005537E">
        <w:trPr>
          <w:trHeight w:val="576"/>
          <w:tblHeader/>
          <w:jc w:val="center"/>
        </w:trPr>
        <w:tc>
          <w:tcPr>
            <w:tcW w:w="384"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b.</w:t>
            </w:r>
          </w:p>
        </w:tc>
        <w:tc>
          <w:tcPr>
            <w:tcW w:w="4667"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sidRPr="007811A7">
              <w:rPr>
                <w:rFonts w:ascii="Arial" w:hAnsi="Arial" w:cs="Arial"/>
                <w:sz w:val="20"/>
              </w:rPr>
              <w:t xml:space="preserve">The materials provided helped me understand and become engaged in the </w:t>
            </w:r>
            <w:r>
              <w:rPr>
                <w:rFonts w:ascii="Arial" w:hAnsi="Arial" w:cs="Arial"/>
                <w:sz w:val="20"/>
              </w:rPr>
              <w:t>workshop</w:t>
            </w:r>
          </w:p>
        </w:tc>
        <w:tc>
          <w:tcPr>
            <w:tcW w:w="718" w:type="dxa"/>
            <w:tcBorders>
              <w:top w:val="single" w:sz="4" w:space="0" w:color="000080"/>
              <w:right w:val="nil"/>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17"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18"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D54895"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r w:rsidR="002C5173" w:rsidRPr="00006678" w:rsidTr="0005537E">
        <w:trPr>
          <w:trHeight w:val="576"/>
          <w:tblHeader/>
          <w:jc w:val="center"/>
        </w:trPr>
        <w:tc>
          <w:tcPr>
            <w:tcW w:w="384"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c.</w:t>
            </w:r>
          </w:p>
        </w:tc>
        <w:tc>
          <w:tcPr>
            <w:tcW w:w="4667"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sidRPr="00713D7C">
              <w:rPr>
                <w:rFonts w:ascii="Arial" w:hAnsi="Arial" w:cs="Arial"/>
                <w:sz w:val="20"/>
              </w:rPr>
              <w:t>Participation in the exercise was appropr</w:t>
            </w:r>
            <w:r>
              <w:rPr>
                <w:rFonts w:ascii="Arial" w:hAnsi="Arial" w:cs="Arial"/>
                <w:sz w:val="20"/>
              </w:rPr>
              <w:t>iate for someone in my position</w:t>
            </w:r>
          </w:p>
        </w:tc>
        <w:tc>
          <w:tcPr>
            <w:tcW w:w="718"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17"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18"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r w:rsidR="002C5173" w:rsidRPr="00006678" w:rsidTr="0005537E">
        <w:trPr>
          <w:trHeight w:val="576"/>
          <w:tblHeader/>
          <w:jc w:val="center"/>
        </w:trPr>
        <w:tc>
          <w:tcPr>
            <w:tcW w:w="384" w:type="dxa"/>
            <w:tcBorders>
              <w:left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Pr>
                <w:rFonts w:ascii="Arial" w:hAnsi="Arial" w:cs="Arial"/>
                <w:sz w:val="20"/>
              </w:rPr>
              <w:t>d.</w:t>
            </w:r>
          </w:p>
        </w:tc>
        <w:tc>
          <w:tcPr>
            <w:tcW w:w="4667" w:type="dxa"/>
            <w:tcBorders>
              <w:left w:val="nil"/>
            </w:tcBorders>
            <w:shd w:val="clear" w:color="auto" w:fill="auto"/>
            <w:tcMar>
              <w:top w:w="58" w:type="dxa"/>
              <w:left w:w="115" w:type="dxa"/>
              <w:bottom w:w="58" w:type="dxa"/>
              <w:right w:w="115" w:type="dxa"/>
            </w:tcMar>
            <w:vAlign w:val="center"/>
          </w:tcPr>
          <w:p w:rsidR="002C5173" w:rsidRDefault="002C5173" w:rsidP="00760892">
            <w:pPr>
              <w:pStyle w:val="Header"/>
              <w:tabs>
                <w:tab w:val="left" w:pos="540"/>
              </w:tabs>
              <w:rPr>
                <w:rFonts w:ascii="Arial" w:hAnsi="Arial" w:cs="Arial"/>
                <w:sz w:val="20"/>
              </w:rPr>
            </w:pPr>
            <w:r w:rsidRPr="00713D7C">
              <w:rPr>
                <w:rFonts w:ascii="Arial" w:hAnsi="Arial" w:cs="Arial"/>
                <w:sz w:val="20"/>
              </w:rPr>
              <w:t xml:space="preserve">The participants included were the right people in terms of level and </w:t>
            </w:r>
            <w:r>
              <w:rPr>
                <w:rFonts w:ascii="Arial" w:hAnsi="Arial" w:cs="Arial"/>
                <w:sz w:val="20"/>
              </w:rPr>
              <w:t>mix of disciplines</w:t>
            </w:r>
          </w:p>
        </w:tc>
        <w:tc>
          <w:tcPr>
            <w:tcW w:w="718" w:type="dxa"/>
            <w:tcBorders>
              <w:top w:val="single" w:sz="4" w:space="0" w:color="000080"/>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1</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2</w:t>
            </w:r>
          </w:p>
        </w:tc>
        <w:tc>
          <w:tcPr>
            <w:tcW w:w="717" w:type="dxa"/>
            <w:gridSpan w:val="2"/>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3</w:t>
            </w:r>
          </w:p>
        </w:tc>
        <w:tc>
          <w:tcPr>
            <w:tcW w:w="718" w:type="dxa"/>
            <w:tcBorders>
              <w:top w:val="single" w:sz="4" w:space="0" w:color="000080"/>
              <w:left w:val="nil"/>
              <w:right w:val="nil"/>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4</w:t>
            </w:r>
          </w:p>
        </w:tc>
        <w:tc>
          <w:tcPr>
            <w:tcW w:w="718" w:type="dxa"/>
            <w:tcBorders>
              <w:top w:val="single" w:sz="4" w:space="0" w:color="000080"/>
              <w:left w:val="nil"/>
              <w:right w:val="single" w:sz="4" w:space="0" w:color="000080"/>
            </w:tcBorders>
            <w:shd w:val="clear" w:color="auto" w:fill="auto"/>
            <w:tcMar>
              <w:top w:w="58" w:type="dxa"/>
              <w:left w:w="115" w:type="dxa"/>
              <w:bottom w:w="58" w:type="dxa"/>
              <w:right w:w="115" w:type="dxa"/>
            </w:tcMar>
            <w:vAlign w:val="center"/>
          </w:tcPr>
          <w:p w:rsidR="002C5173" w:rsidRPr="00006678" w:rsidRDefault="002C5173" w:rsidP="00760892">
            <w:pPr>
              <w:pStyle w:val="Header"/>
              <w:tabs>
                <w:tab w:val="left" w:pos="540"/>
              </w:tabs>
              <w:jc w:val="center"/>
              <w:rPr>
                <w:rFonts w:ascii="Arial" w:hAnsi="Arial" w:cs="Arial"/>
                <w:sz w:val="20"/>
              </w:rPr>
            </w:pPr>
            <w:r w:rsidRPr="00006678">
              <w:rPr>
                <w:rFonts w:ascii="Arial" w:hAnsi="Arial" w:cs="Arial"/>
                <w:sz w:val="20"/>
              </w:rPr>
              <w:t>5</w:t>
            </w:r>
          </w:p>
        </w:tc>
      </w:tr>
    </w:tbl>
    <w:p w:rsidR="00931F3A" w:rsidRDefault="00931F3A" w:rsidP="002C5173">
      <w:pPr>
        <w:rPr>
          <w:rFonts w:ascii="Arial" w:hAnsi="Arial" w:cs="Arial"/>
          <w:i/>
        </w:rPr>
        <w:sectPr w:rsidR="00931F3A" w:rsidSect="00395724">
          <w:pgSz w:w="12240" w:h="15840"/>
          <w:pgMar w:top="720" w:right="720" w:bottom="720" w:left="720" w:header="720" w:footer="720" w:gutter="0"/>
          <w:cols w:space="720"/>
          <w:docGrid w:linePitch="360"/>
        </w:sectPr>
      </w:pPr>
    </w:p>
    <w:p w:rsidR="002C5173" w:rsidRPr="00D57A8C" w:rsidRDefault="002C5173" w:rsidP="002C5173">
      <w:pPr>
        <w:rPr>
          <w:rFonts w:ascii="Arial" w:hAnsi="Arial" w:cs="Arial"/>
          <w:i/>
        </w:rPr>
      </w:pPr>
      <w:r>
        <w:rPr>
          <w:rFonts w:ascii="Arial" w:hAnsi="Arial" w:cs="Arial"/>
          <w:i/>
        </w:rPr>
        <w:t>Short Answers</w:t>
      </w:r>
    </w:p>
    <w:p w:rsidR="002C5173" w:rsidRPr="00F52B1E" w:rsidRDefault="002C5173" w:rsidP="002C5173">
      <w:pPr>
        <w:widowControl w:val="0"/>
        <w:numPr>
          <w:ilvl w:val="0"/>
          <w:numId w:val="2"/>
        </w:numPr>
        <w:tabs>
          <w:tab w:val="left" w:pos="360"/>
          <w:tab w:val="right" w:leader="underscore" w:pos="9360"/>
        </w:tabs>
        <w:autoSpaceDE w:val="0"/>
        <w:autoSpaceDN w:val="0"/>
        <w:adjustRightInd w:val="0"/>
        <w:spacing w:before="120" w:after="120" w:line="240" w:lineRule="auto"/>
        <w:rPr>
          <w:rFonts w:eastAsia="Times New Roman" w:cs="Times New Roman"/>
          <w:bCs/>
          <w:color w:val="000000"/>
          <w:sz w:val="24"/>
          <w:szCs w:val="24"/>
        </w:rPr>
      </w:pPr>
      <w:r>
        <w:rPr>
          <w:rFonts w:eastAsia="Times New Roman" w:cs="Times New Roman"/>
          <w:bCs/>
          <w:color w:val="000000"/>
          <w:sz w:val="24"/>
          <w:szCs w:val="24"/>
        </w:rPr>
        <w:t xml:space="preserve">Based on your area of expertise and experience, what is unique about extended medical countermeasure distribution and dispensing considerations? </w:t>
      </w:r>
    </w:p>
    <w:p w:rsidR="002C5173" w:rsidRDefault="002C5173" w:rsidP="002C5173">
      <w:pPr>
        <w:tabs>
          <w:tab w:val="right" w:leader="underscore" w:pos="9360"/>
        </w:tabs>
        <w:spacing w:after="0" w:line="240" w:lineRule="auto"/>
        <w:ind w:left="360"/>
        <w:rPr>
          <w:rFonts w:eastAsia="Times New Roman" w:cs="Times New Roman"/>
          <w:color w:val="000000"/>
          <w:sz w:val="24"/>
          <w:szCs w:val="24"/>
        </w:rPr>
      </w:pPr>
      <w:r w:rsidRPr="00000F9A">
        <w:rPr>
          <w:rFonts w:ascii="Arial"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173" w:rsidRDefault="002C5173" w:rsidP="002C5173">
      <w:pPr>
        <w:tabs>
          <w:tab w:val="right" w:leader="underscore" w:pos="9360"/>
        </w:tabs>
        <w:spacing w:after="0" w:line="240" w:lineRule="auto"/>
        <w:rPr>
          <w:rFonts w:eastAsia="Times New Roman" w:cs="Times New Roman"/>
          <w:bCs/>
          <w:color w:val="000000"/>
          <w:sz w:val="24"/>
          <w:szCs w:val="24"/>
        </w:rPr>
      </w:pPr>
    </w:p>
    <w:p w:rsidR="002C5173" w:rsidRDefault="002C5173" w:rsidP="002C5173">
      <w:pPr>
        <w:tabs>
          <w:tab w:val="right" w:leader="underscore" w:pos="9360"/>
        </w:tabs>
        <w:spacing w:after="0" w:line="240" w:lineRule="auto"/>
        <w:rPr>
          <w:rFonts w:eastAsia="Times New Roman" w:cs="Times New Roman"/>
          <w:bCs/>
          <w:color w:val="000000"/>
          <w:sz w:val="24"/>
          <w:szCs w:val="24"/>
        </w:rPr>
      </w:pPr>
    </w:p>
    <w:p w:rsidR="002C5173" w:rsidRPr="00F52B1E" w:rsidRDefault="002C5173" w:rsidP="002C5173">
      <w:pPr>
        <w:widowControl w:val="0"/>
        <w:tabs>
          <w:tab w:val="left" w:pos="360"/>
          <w:tab w:val="right" w:leader="underscore" w:pos="8640"/>
        </w:tabs>
        <w:autoSpaceDE w:val="0"/>
        <w:autoSpaceDN w:val="0"/>
        <w:adjustRightInd w:val="0"/>
        <w:spacing w:after="0" w:line="240" w:lineRule="auto"/>
        <w:rPr>
          <w:rFonts w:eastAsia="Times New Roman" w:cs="Times New Roman"/>
          <w:bCs/>
          <w:color w:val="000000"/>
          <w:sz w:val="24"/>
          <w:szCs w:val="24"/>
        </w:rPr>
      </w:pPr>
    </w:p>
    <w:p w:rsidR="002C5173" w:rsidRDefault="002C5173" w:rsidP="002C5173">
      <w:pPr>
        <w:widowControl w:val="0"/>
        <w:numPr>
          <w:ilvl w:val="0"/>
          <w:numId w:val="2"/>
        </w:numPr>
        <w:tabs>
          <w:tab w:val="right" w:leader="underscore" w:pos="9360"/>
        </w:tabs>
        <w:autoSpaceDE w:val="0"/>
        <w:autoSpaceDN w:val="0"/>
        <w:adjustRightInd w:val="0"/>
        <w:spacing w:before="120" w:after="120" w:line="240" w:lineRule="auto"/>
        <w:rPr>
          <w:rFonts w:eastAsia="Times New Roman" w:cs="Times New Roman"/>
          <w:bCs/>
          <w:color w:val="000000"/>
          <w:sz w:val="24"/>
          <w:szCs w:val="24"/>
        </w:rPr>
      </w:pPr>
      <w:r w:rsidRPr="00AF114D">
        <w:rPr>
          <w:rFonts w:eastAsia="Times New Roman" w:cs="Times New Roman"/>
          <w:bCs/>
          <w:color w:val="000000"/>
          <w:sz w:val="24"/>
          <w:szCs w:val="24"/>
        </w:rPr>
        <w:t>Which topics would you like discussed</w:t>
      </w:r>
      <w:r>
        <w:rPr>
          <w:rFonts w:eastAsia="Times New Roman" w:cs="Times New Roman"/>
          <w:bCs/>
          <w:color w:val="000000"/>
          <w:sz w:val="24"/>
          <w:szCs w:val="24"/>
        </w:rPr>
        <w:t xml:space="preserve"> further</w:t>
      </w:r>
      <w:r w:rsidRPr="00AF114D">
        <w:rPr>
          <w:rFonts w:eastAsia="Times New Roman" w:cs="Times New Roman"/>
          <w:bCs/>
          <w:color w:val="000000"/>
          <w:sz w:val="24"/>
          <w:szCs w:val="24"/>
        </w:rPr>
        <w:t xml:space="preserve"> in future </w:t>
      </w:r>
      <w:r>
        <w:rPr>
          <w:rFonts w:eastAsia="Times New Roman" w:cs="Times New Roman"/>
          <w:bCs/>
          <w:color w:val="000000"/>
          <w:sz w:val="24"/>
          <w:szCs w:val="24"/>
        </w:rPr>
        <w:t xml:space="preserve">training and </w:t>
      </w:r>
      <w:r w:rsidRPr="00AF114D">
        <w:rPr>
          <w:rFonts w:eastAsia="Times New Roman" w:cs="Times New Roman"/>
          <w:bCs/>
          <w:color w:val="000000"/>
          <w:sz w:val="24"/>
          <w:szCs w:val="24"/>
        </w:rPr>
        <w:t>exercises</w:t>
      </w:r>
      <w:r>
        <w:rPr>
          <w:rFonts w:eastAsia="Times New Roman" w:cs="Times New Roman"/>
          <w:bCs/>
          <w:color w:val="000000"/>
          <w:sz w:val="24"/>
          <w:szCs w:val="24"/>
        </w:rPr>
        <w:t>?</w:t>
      </w:r>
    </w:p>
    <w:p w:rsidR="002C5173" w:rsidRDefault="002C5173" w:rsidP="002C5173">
      <w:pPr>
        <w:widowControl w:val="0"/>
        <w:tabs>
          <w:tab w:val="right" w:leader="underscore" w:pos="9360"/>
        </w:tabs>
        <w:autoSpaceDE w:val="0"/>
        <w:autoSpaceDN w:val="0"/>
        <w:adjustRightInd w:val="0"/>
        <w:spacing w:before="120" w:after="120" w:line="240" w:lineRule="auto"/>
        <w:ind w:left="360"/>
        <w:rPr>
          <w:rFonts w:eastAsia="Times New Roman" w:cs="Times New Roman"/>
          <w:bCs/>
          <w:color w:val="000000"/>
          <w:sz w:val="24"/>
          <w:szCs w:val="24"/>
        </w:rPr>
      </w:pPr>
      <w:r w:rsidRPr="007811A7">
        <w:rPr>
          <w:rFonts w:ascii="Arial" w:eastAsia="Times New Roman"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173" w:rsidRDefault="002C5173" w:rsidP="002C5173">
      <w:pPr>
        <w:widowControl w:val="0"/>
        <w:tabs>
          <w:tab w:val="right" w:leader="underscore" w:pos="9360"/>
        </w:tabs>
        <w:autoSpaceDE w:val="0"/>
        <w:autoSpaceDN w:val="0"/>
        <w:adjustRightInd w:val="0"/>
        <w:spacing w:before="120" w:after="120" w:line="240" w:lineRule="auto"/>
        <w:rPr>
          <w:rFonts w:eastAsia="Times New Roman" w:cs="Times New Roman"/>
          <w:bCs/>
          <w:color w:val="000000"/>
          <w:sz w:val="24"/>
          <w:szCs w:val="24"/>
        </w:rPr>
      </w:pPr>
    </w:p>
    <w:p w:rsidR="00931F3A" w:rsidRDefault="00931F3A" w:rsidP="002C5173">
      <w:pPr>
        <w:widowControl w:val="0"/>
        <w:tabs>
          <w:tab w:val="right" w:leader="underscore" w:pos="9360"/>
        </w:tabs>
        <w:autoSpaceDE w:val="0"/>
        <w:autoSpaceDN w:val="0"/>
        <w:adjustRightInd w:val="0"/>
        <w:spacing w:before="120" w:after="120" w:line="240" w:lineRule="auto"/>
        <w:rPr>
          <w:rFonts w:eastAsia="Times New Roman" w:cs="Times New Roman"/>
          <w:bCs/>
          <w:color w:val="000000"/>
          <w:sz w:val="24"/>
          <w:szCs w:val="24"/>
        </w:rPr>
      </w:pPr>
    </w:p>
    <w:p w:rsidR="002C5173" w:rsidRPr="00FA583E" w:rsidRDefault="002C5173" w:rsidP="002C5173">
      <w:pPr>
        <w:widowControl w:val="0"/>
        <w:tabs>
          <w:tab w:val="right" w:leader="underscore" w:pos="9360"/>
        </w:tabs>
        <w:autoSpaceDE w:val="0"/>
        <w:autoSpaceDN w:val="0"/>
        <w:adjustRightInd w:val="0"/>
        <w:spacing w:before="120" w:after="120" w:line="240" w:lineRule="auto"/>
        <w:rPr>
          <w:rFonts w:eastAsia="Times New Roman" w:cs="Times New Roman"/>
          <w:bCs/>
          <w:color w:val="000000"/>
          <w:sz w:val="24"/>
          <w:szCs w:val="24"/>
        </w:rPr>
      </w:pPr>
    </w:p>
    <w:p w:rsidR="002C5173" w:rsidRDefault="002C5173" w:rsidP="002C5173">
      <w:pPr>
        <w:widowControl w:val="0"/>
        <w:numPr>
          <w:ilvl w:val="0"/>
          <w:numId w:val="2"/>
        </w:numPr>
        <w:tabs>
          <w:tab w:val="left" w:pos="360"/>
          <w:tab w:val="right" w:leader="underscore" w:pos="9360"/>
        </w:tabs>
        <w:autoSpaceDE w:val="0"/>
        <w:autoSpaceDN w:val="0"/>
        <w:adjustRightInd w:val="0"/>
        <w:spacing w:before="120" w:after="120" w:line="240" w:lineRule="auto"/>
        <w:rPr>
          <w:rFonts w:eastAsia="Times New Roman" w:cs="Times New Roman"/>
          <w:bCs/>
          <w:color w:val="000000"/>
          <w:sz w:val="24"/>
          <w:szCs w:val="24"/>
        </w:rPr>
      </w:pPr>
      <w:r w:rsidRPr="00FA583E">
        <w:rPr>
          <w:rFonts w:eastAsia="Times New Roman" w:cs="Times New Roman"/>
          <w:bCs/>
          <w:color w:val="000000"/>
          <w:sz w:val="24"/>
          <w:szCs w:val="24"/>
        </w:rPr>
        <w:t>Please provide any additional comments and</w:t>
      </w:r>
      <w:r>
        <w:rPr>
          <w:rFonts w:eastAsia="Times New Roman" w:cs="Times New Roman"/>
          <w:bCs/>
          <w:color w:val="000000"/>
          <w:sz w:val="24"/>
          <w:szCs w:val="24"/>
        </w:rPr>
        <w:t>/or</w:t>
      </w:r>
      <w:r w:rsidRPr="00FA583E">
        <w:rPr>
          <w:rFonts w:eastAsia="Times New Roman" w:cs="Times New Roman"/>
          <w:bCs/>
          <w:color w:val="000000"/>
          <w:sz w:val="24"/>
          <w:szCs w:val="24"/>
        </w:rPr>
        <w:t xml:space="preserve"> recommendations.</w:t>
      </w:r>
    </w:p>
    <w:p w:rsidR="002C5173" w:rsidRDefault="002C5173" w:rsidP="002C5173">
      <w:pPr>
        <w:widowControl w:val="0"/>
        <w:tabs>
          <w:tab w:val="right" w:leader="underscore" w:pos="9360"/>
        </w:tabs>
        <w:autoSpaceDE w:val="0"/>
        <w:autoSpaceDN w:val="0"/>
        <w:adjustRightInd w:val="0"/>
        <w:spacing w:before="120" w:after="120" w:line="240" w:lineRule="auto"/>
        <w:ind w:left="360"/>
        <w:rPr>
          <w:rFonts w:eastAsia="Times New Roman" w:cs="Times New Roman"/>
          <w:bCs/>
          <w:color w:val="000000"/>
          <w:sz w:val="24"/>
          <w:szCs w:val="24"/>
        </w:rPr>
      </w:pPr>
      <w:r w:rsidRPr="007811A7">
        <w:rPr>
          <w:rFonts w:ascii="Arial" w:eastAsia="Times New Roman"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1B1" w:rsidRPr="00395724" w:rsidRDefault="00DA51B1" w:rsidP="00931F3A">
      <w:pPr>
        <w:spacing w:after="0" w:line="360" w:lineRule="auto"/>
        <w:rPr>
          <w:rFonts w:ascii="Calibri" w:eastAsia="Calibri" w:hAnsi="Calibri" w:cs="Times New Roman"/>
          <w:b/>
          <w:sz w:val="24"/>
          <w:szCs w:val="24"/>
        </w:rPr>
      </w:pPr>
    </w:p>
    <w:sectPr w:rsidR="00DA51B1" w:rsidRPr="00395724" w:rsidSect="00931F3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05C" w:rsidRDefault="000E205C" w:rsidP="00A95FBB">
      <w:pPr>
        <w:spacing w:after="0" w:line="240" w:lineRule="auto"/>
      </w:pPr>
      <w:r>
        <w:separator/>
      </w:r>
    </w:p>
  </w:endnote>
  <w:endnote w:type="continuationSeparator" w:id="0">
    <w:p w:rsidR="000E205C" w:rsidRDefault="000E205C" w:rsidP="00A9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56" w:rsidRDefault="006A0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8A4" w:rsidRDefault="00AB68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B8255D">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AB68A4" w:rsidRDefault="00AB6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56" w:rsidRDefault="006A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05C" w:rsidRDefault="000E205C" w:rsidP="00A95FBB">
      <w:pPr>
        <w:spacing w:after="0" w:line="240" w:lineRule="auto"/>
      </w:pPr>
      <w:r>
        <w:separator/>
      </w:r>
    </w:p>
  </w:footnote>
  <w:footnote w:type="continuationSeparator" w:id="0">
    <w:p w:rsidR="000E205C" w:rsidRDefault="000E205C" w:rsidP="00A95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56" w:rsidRDefault="00320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235" o:spid="_x0000_s2050" type="#_x0000_t136" style="position:absolute;margin-left:0;margin-top:0;width:412.4pt;height:247.45pt;rotation:315;z-index:-251655168;mso-position-horizontal:center;mso-position-horizontal-relative:margin;mso-position-vertical:center;mso-position-vertical-relative:margin" o:allowincell="f" fillcolor="red" stroked="f">
          <v:fill opacity=".5"/>
          <v:textpath style="font-family:&quot;Calibri&quot;;font-size:1pt" string="D R A F 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8A4" w:rsidRDefault="00320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236" o:spid="_x0000_s2051" type="#_x0000_t136" style="position:absolute;margin-left:0;margin-top:0;width:412.4pt;height:247.45pt;rotation:315;z-index:-251653120;mso-position-horizontal:center;mso-position-horizontal-relative:margin;mso-position-vertical:center;mso-position-vertical-relative:margin" o:allowincell="f" fillcolor="red" stroked="f">
          <v:fill opacity=".5"/>
          <v:textpath style="font-family:&quot;Calibri&quot;;font-size:1pt" string="D R A F T"/>
        </v:shape>
      </w:pict>
    </w:r>
    <w:r w:rsidR="00AB68A4">
      <w:tab/>
    </w:r>
    <w:r w:rsidR="00AB68A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356" w:rsidRDefault="003202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0234" o:spid="_x0000_s2049" type="#_x0000_t136" style="position:absolute;margin-left:0;margin-top:0;width:412.4pt;height:247.45pt;rotation:315;z-index:-251657216;mso-position-horizontal:center;mso-position-horizontal-relative:margin;mso-position-vertical:center;mso-position-vertical-relative:margin" o:allowincell="f" fillcolor="red" stroked="f">
          <v:fill opacity=".5"/>
          <v:textpath style="font-family:&quot;Calibri&quot;;font-size:1pt" string="D R A F 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D22EF2"/>
    <w:lvl w:ilvl="0">
      <w:start w:val="1"/>
      <w:numFmt w:val="bullet"/>
      <w:pStyle w:val="ListBullet"/>
      <w:lvlText w:val=""/>
      <w:lvlJc w:val="left"/>
      <w:pPr>
        <w:tabs>
          <w:tab w:val="num" w:pos="2790"/>
        </w:tabs>
        <w:ind w:left="2790" w:hanging="360"/>
      </w:pPr>
      <w:rPr>
        <w:rFonts w:ascii="Symbol" w:hAnsi="Symbol" w:hint="default"/>
        <w:color w:val="auto"/>
      </w:rPr>
    </w:lvl>
  </w:abstractNum>
  <w:abstractNum w:abstractNumId="1" w15:restartNumberingAfterBreak="0">
    <w:nsid w:val="01D60C45"/>
    <w:multiLevelType w:val="hybridMultilevel"/>
    <w:tmpl w:val="CB2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3961"/>
    <w:multiLevelType w:val="hybridMultilevel"/>
    <w:tmpl w:val="12DCF7B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5D2933"/>
    <w:multiLevelType w:val="hybridMultilevel"/>
    <w:tmpl w:val="79F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573FF"/>
    <w:multiLevelType w:val="hybridMultilevel"/>
    <w:tmpl w:val="BEFE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93CED"/>
    <w:multiLevelType w:val="hybridMultilevel"/>
    <w:tmpl w:val="5A3AF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1C328D"/>
    <w:multiLevelType w:val="hybridMultilevel"/>
    <w:tmpl w:val="80B6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76FB"/>
    <w:multiLevelType w:val="hybridMultilevel"/>
    <w:tmpl w:val="99CC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73B72"/>
    <w:multiLevelType w:val="hybridMultilevel"/>
    <w:tmpl w:val="9E6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C6072"/>
    <w:multiLevelType w:val="hybridMultilevel"/>
    <w:tmpl w:val="9B8EF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D4157"/>
    <w:multiLevelType w:val="hybridMultilevel"/>
    <w:tmpl w:val="C5782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73989"/>
    <w:multiLevelType w:val="hybridMultilevel"/>
    <w:tmpl w:val="11E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B4704"/>
    <w:multiLevelType w:val="hybridMultilevel"/>
    <w:tmpl w:val="3104B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21552"/>
    <w:multiLevelType w:val="hybridMultilevel"/>
    <w:tmpl w:val="B02E7BE4"/>
    <w:lvl w:ilvl="0" w:tplc="04090001">
      <w:start w:val="1"/>
      <w:numFmt w:val="bullet"/>
      <w:lvlText w:val=""/>
      <w:lvlJc w:val="left"/>
      <w:pPr>
        <w:ind w:left="720" w:hanging="360"/>
      </w:pPr>
      <w:rPr>
        <w:rFonts w:ascii="Symbol" w:hAnsi="Symbol" w:hint="default"/>
      </w:rPr>
    </w:lvl>
    <w:lvl w:ilvl="1" w:tplc="5FCEF894">
      <w:numFmt w:val="bullet"/>
      <w:lvlText w:val="•"/>
      <w:lvlJc w:val="left"/>
      <w:pPr>
        <w:ind w:left="1440" w:hanging="360"/>
      </w:pPr>
      <w:rPr>
        <w:rFonts w:ascii="Myriad Pro" w:eastAsiaTheme="minorHAnsi" w:hAnsi="Myriad Pro" w:cs="Myriad Pro" w:hint="default"/>
        <w:b/>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215"/>
    <w:multiLevelType w:val="hybridMultilevel"/>
    <w:tmpl w:val="5E320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F5830"/>
    <w:multiLevelType w:val="hybridMultilevel"/>
    <w:tmpl w:val="F2B0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84604"/>
    <w:multiLevelType w:val="hybridMultilevel"/>
    <w:tmpl w:val="963624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3E00CD"/>
    <w:multiLevelType w:val="hybridMultilevel"/>
    <w:tmpl w:val="A7B43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80076"/>
    <w:multiLevelType w:val="hybridMultilevel"/>
    <w:tmpl w:val="DEE0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8098C"/>
    <w:multiLevelType w:val="hybridMultilevel"/>
    <w:tmpl w:val="C6C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E2008"/>
    <w:multiLevelType w:val="hybridMultilevel"/>
    <w:tmpl w:val="C4BE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7F25"/>
    <w:multiLevelType w:val="hybridMultilevel"/>
    <w:tmpl w:val="F416A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B7039"/>
    <w:multiLevelType w:val="hybridMultilevel"/>
    <w:tmpl w:val="99CC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12657"/>
    <w:multiLevelType w:val="hybridMultilevel"/>
    <w:tmpl w:val="4378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4A41"/>
    <w:multiLevelType w:val="hybridMultilevel"/>
    <w:tmpl w:val="F2B0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F4912"/>
    <w:multiLevelType w:val="hybridMultilevel"/>
    <w:tmpl w:val="E9A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C3CD2"/>
    <w:multiLevelType w:val="hybridMultilevel"/>
    <w:tmpl w:val="F5CE9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4637F"/>
    <w:multiLevelType w:val="hybridMultilevel"/>
    <w:tmpl w:val="CC9E4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C4FDC"/>
    <w:multiLevelType w:val="hybridMultilevel"/>
    <w:tmpl w:val="D07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C447F"/>
    <w:multiLevelType w:val="hybridMultilevel"/>
    <w:tmpl w:val="D49C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3098C"/>
    <w:multiLevelType w:val="hybridMultilevel"/>
    <w:tmpl w:val="F586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67F88"/>
    <w:multiLevelType w:val="hybridMultilevel"/>
    <w:tmpl w:val="679C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5"/>
  </w:num>
  <w:num w:numId="5">
    <w:abstractNumId w:val="12"/>
  </w:num>
  <w:num w:numId="6">
    <w:abstractNumId w:val="19"/>
  </w:num>
  <w:num w:numId="7">
    <w:abstractNumId w:val="9"/>
  </w:num>
  <w:num w:numId="8">
    <w:abstractNumId w:val="27"/>
  </w:num>
  <w:num w:numId="9">
    <w:abstractNumId w:val="31"/>
  </w:num>
  <w:num w:numId="10">
    <w:abstractNumId w:val="29"/>
  </w:num>
  <w:num w:numId="11">
    <w:abstractNumId w:val="7"/>
  </w:num>
  <w:num w:numId="12">
    <w:abstractNumId w:val="18"/>
  </w:num>
  <w:num w:numId="13">
    <w:abstractNumId w:val="17"/>
  </w:num>
  <w:num w:numId="14">
    <w:abstractNumId w:val="30"/>
  </w:num>
  <w:num w:numId="15">
    <w:abstractNumId w:val="6"/>
  </w:num>
  <w:num w:numId="16">
    <w:abstractNumId w:val="22"/>
  </w:num>
  <w:num w:numId="17">
    <w:abstractNumId w:val="24"/>
  </w:num>
  <w:num w:numId="18">
    <w:abstractNumId w:val="15"/>
  </w:num>
  <w:num w:numId="19">
    <w:abstractNumId w:val="20"/>
  </w:num>
  <w:num w:numId="20">
    <w:abstractNumId w:val="2"/>
  </w:num>
  <w:num w:numId="21">
    <w:abstractNumId w:val="2"/>
  </w:num>
  <w:num w:numId="22">
    <w:abstractNumId w:val="21"/>
  </w:num>
  <w:num w:numId="23">
    <w:abstractNumId w:val="10"/>
  </w:num>
  <w:num w:numId="24">
    <w:abstractNumId w:val="26"/>
  </w:num>
  <w:num w:numId="25">
    <w:abstractNumId w:val="23"/>
  </w:num>
  <w:num w:numId="26">
    <w:abstractNumId w:val="28"/>
  </w:num>
  <w:num w:numId="27">
    <w:abstractNumId w:val="13"/>
  </w:num>
  <w:num w:numId="28">
    <w:abstractNumId w:val="25"/>
  </w:num>
  <w:num w:numId="29">
    <w:abstractNumId w:val="14"/>
  </w:num>
  <w:num w:numId="30">
    <w:abstractNumId w:val="3"/>
  </w:num>
  <w:num w:numId="31">
    <w:abstractNumId w:val="1"/>
  </w:num>
  <w:num w:numId="32">
    <w:abstractNumId w:val="11"/>
  </w:num>
  <w:num w:numId="3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44"/>
    <w:rsid w:val="000008A6"/>
    <w:rsid w:val="00002269"/>
    <w:rsid w:val="00004A04"/>
    <w:rsid w:val="00005066"/>
    <w:rsid w:val="00005DB6"/>
    <w:rsid w:val="00006C19"/>
    <w:rsid w:val="00007E9A"/>
    <w:rsid w:val="00010AF1"/>
    <w:rsid w:val="00010DE0"/>
    <w:rsid w:val="00012EA3"/>
    <w:rsid w:val="000136DA"/>
    <w:rsid w:val="00013857"/>
    <w:rsid w:val="000222CB"/>
    <w:rsid w:val="00026DC4"/>
    <w:rsid w:val="000305A8"/>
    <w:rsid w:val="00030A97"/>
    <w:rsid w:val="00033580"/>
    <w:rsid w:val="00041B20"/>
    <w:rsid w:val="00042BEA"/>
    <w:rsid w:val="00043036"/>
    <w:rsid w:val="000438CF"/>
    <w:rsid w:val="00045C6E"/>
    <w:rsid w:val="0005194D"/>
    <w:rsid w:val="00054A65"/>
    <w:rsid w:val="0005537E"/>
    <w:rsid w:val="00056155"/>
    <w:rsid w:val="000602B3"/>
    <w:rsid w:val="0006220B"/>
    <w:rsid w:val="00062279"/>
    <w:rsid w:val="00070592"/>
    <w:rsid w:val="00082CF8"/>
    <w:rsid w:val="00083B81"/>
    <w:rsid w:val="000926C7"/>
    <w:rsid w:val="00093B44"/>
    <w:rsid w:val="000944FC"/>
    <w:rsid w:val="0009511B"/>
    <w:rsid w:val="000A090D"/>
    <w:rsid w:val="000A22FF"/>
    <w:rsid w:val="000A38AF"/>
    <w:rsid w:val="000A4BB5"/>
    <w:rsid w:val="000A7535"/>
    <w:rsid w:val="000B4AC7"/>
    <w:rsid w:val="000B6287"/>
    <w:rsid w:val="000B6AD6"/>
    <w:rsid w:val="000C3446"/>
    <w:rsid w:val="000C3871"/>
    <w:rsid w:val="000C45E6"/>
    <w:rsid w:val="000C6A72"/>
    <w:rsid w:val="000D09F2"/>
    <w:rsid w:val="000D33B9"/>
    <w:rsid w:val="000D36D7"/>
    <w:rsid w:val="000D3E92"/>
    <w:rsid w:val="000D4177"/>
    <w:rsid w:val="000E205C"/>
    <w:rsid w:val="000E20B0"/>
    <w:rsid w:val="000E24B2"/>
    <w:rsid w:val="000E3E98"/>
    <w:rsid w:val="000E6745"/>
    <w:rsid w:val="000E6AD8"/>
    <w:rsid w:val="000F0027"/>
    <w:rsid w:val="000F11D8"/>
    <w:rsid w:val="000F3D3D"/>
    <w:rsid w:val="000F3F73"/>
    <w:rsid w:val="000F44A3"/>
    <w:rsid w:val="00100425"/>
    <w:rsid w:val="00101A2B"/>
    <w:rsid w:val="001042B4"/>
    <w:rsid w:val="001066DD"/>
    <w:rsid w:val="001111BD"/>
    <w:rsid w:val="00113062"/>
    <w:rsid w:val="001132F7"/>
    <w:rsid w:val="00114972"/>
    <w:rsid w:val="00116B1B"/>
    <w:rsid w:val="00131A11"/>
    <w:rsid w:val="0013438F"/>
    <w:rsid w:val="001409B0"/>
    <w:rsid w:val="00146937"/>
    <w:rsid w:val="001470EF"/>
    <w:rsid w:val="00147B28"/>
    <w:rsid w:val="00150E4A"/>
    <w:rsid w:val="00151AAF"/>
    <w:rsid w:val="00156C84"/>
    <w:rsid w:val="0015739E"/>
    <w:rsid w:val="00157C66"/>
    <w:rsid w:val="00160428"/>
    <w:rsid w:val="00164B16"/>
    <w:rsid w:val="00166A26"/>
    <w:rsid w:val="00167518"/>
    <w:rsid w:val="00167986"/>
    <w:rsid w:val="00180049"/>
    <w:rsid w:val="0018082A"/>
    <w:rsid w:val="00183F4E"/>
    <w:rsid w:val="001865EE"/>
    <w:rsid w:val="0018684C"/>
    <w:rsid w:val="00192540"/>
    <w:rsid w:val="00193CEB"/>
    <w:rsid w:val="001959F3"/>
    <w:rsid w:val="001A0955"/>
    <w:rsid w:val="001A2502"/>
    <w:rsid w:val="001A48B6"/>
    <w:rsid w:val="001B2467"/>
    <w:rsid w:val="001B6538"/>
    <w:rsid w:val="001B7E2E"/>
    <w:rsid w:val="001B7F51"/>
    <w:rsid w:val="001C0123"/>
    <w:rsid w:val="001C38C5"/>
    <w:rsid w:val="001C662D"/>
    <w:rsid w:val="001C735E"/>
    <w:rsid w:val="001D1F39"/>
    <w:rsid w:val="001E00F0"/>
    <w:rsid w:val="001E3943"/>
    <w:rsid w:val="001E5F28"/>
    <w:rsid w:val="001E6185"/>
    <w:rsid w:val="001F04DC"/>
    <w:rsid w:val="001F3586"/>
    <w:rsid w:val="001F5E22"/>
    <w:rsid w:val="00202AC9"/>
    <w:rsid w:val="0021126C"/>
    <w:rsid w:val="00211589"/>
    <w:rsid w:val="00212ED1"/>
    <w:rsid w:val="0021465E"/>
    <w:rsid w:val="00216CCA"/>
    <w:rsid w:val="002173F1"/>
    <w:rsid w:val="0022470E"/>
    <w:rsid w:val="00224B8C"/>
    <w:rsid w:val="00225647"/>
    <w:rsid w:val="00227AA4"/>
    <w:rsid w:val="00230C49"/>
    <w:rsid w:val="00231D5B"/>
    <w:rsid w:val="002321DD"/>
    <w:rsid w:val="0023673F"/>
    <w:rsid w:val="00236D57"/>
    <w:rsid w:val="00240DB3"/>
    <w:rsid w:val="00242D6D"/>
    <w:rsid w:val="00243047"/>
    <w:rsid w:val="00246788"/>
    <w:rsid w:val="00246F2A"/>
    <w:rsid w:val="00250D58"/>
    <w:rsid w:val="00253E3E"/>
    <w:rsid w:val="002559BC"/>
    <w:rsid w:val="00256570"/>
    <w:rsid w:val="00261085"/>
    <w:rsid w:val="0026424A"/>
    <w:rsid w:val="0026736F"/>
    <w:rsid w:val="00271B0B"/>
    <w:rsid w:val="00280C44"/>
    <w:rsid w:val="00283D66"/>
    <w:rsid w:val="00290F14"/>
    <w:rsid w:val="002B3A36"/>
    <w:rsid w:val="002C124F"/>
    <w:rsid w:val="002C5173"/>
    <w:rsid w:val="002D5F80"/>
    <w:rsid w:val="002E003E"/>
    <w:rsid w:val="002E0826"/>
    <w:rsid w:val="002E2EB6"/>
    <w:rsid w:val="002F0954"/>
    <w:rsid w:val="002F6A1F"/>
    <w:rsid w:val="003001B3"/>
    <w:rsid w:val="00304684"/>
    <w:rsid w:val="00305C3C"/>
    <w:rsid w:val="00315EAD"/>
    <w:rsid w:val="00316799"/>
    <w:rsid w:val="00320211"/>
    <w:rsid w:val="00320251"/>
    <w:rsid w:val="00320347"/>
    <w:rsid w:val="00320CBC"/>
    <w:rsid w:val="00322AE4"/>
    <w:rsid w:val="003235A5"/>
    <w:rsid w:val="00323F15"/>
    <w:rsid w:val="003252BE"/>
    <w:rsid w:val="00332956"/>
    <w:rsid w:val="003340AC"/>
    <w:rsid w:val="00336303"/>
    <w:rsid w:val="00337994"/>
    <w:rsid w:val="00340E9D"/>
    <w:rsid w:val="00345E80"/>
    <w:rsid w:val="00345F96"/>
    <w:rsid w:val="00347228"/>
    <w:rsid w:val="003473D2"/>
    <w:rsid w:val="00347A79"/>
    <w:rsid w:val="003553A7"/>
    <w:rsid w:val="003562BB"/>
    <w:rsid w:val="0036046C"/>
    <w:rsid w:val="00362DE5"/>
    <w:rsid w:val="00363B34"/>
    <w:rsid w:val="003641D4"/>
    <w:rsid w:val="00366A24"/>
    <w:rsid w:val="0036738C"/>
    <w:rsid w:val="00370E24"/>
    <w:rsid w:val="00375A40"/>
    <w:rsid w:val="003809F9"/>
    <w:rsid w:val="00381539"/>
    <w:rsid w:val="00382E91"/>
    <w:rsid w:val="00384C9F"/>
    <w:rsid w:val="0038732D"/>
    <w:rsid w:val="003913DC"/>
    <w:rsid w:val="00392FDE"/>
    <w:rsid w:val="003946E8"/>
    <w:rsid w:val="00394835"/>
    <w:rsid w:val="00395724"/>
    <w:rsid w:val="00397951"/>
    <w:rsid w:val="003A1D26"/>
    <w:rsid w:val="003A459F"/>
    <w:rsid w:val="003A5D44"/>
    <w:rsid w:val="003B3792"/>
    <w:rsid w:val="003B556F"/>
    <w:rsid w:val="003C03CF"/>
    <w:rsid w:val="003C5C41"/>
    <w:rsid w:val="003C7924"/>
    <w:rsid w:val="003D24F4"/>
    <w:rsid w:val="003D5247"/>
    <w:rsid w:val="003D71D5"/>
    <w:rsid w:val="003E11D3"/>
    <w:rsid w:val="003E122A"/>
    <w:rsid w:val="003E1D70"/>
    <w:rsid w:val="003E3182"/>
    <w:rsid w:val="003E3D2C"/>
    <w:rsid w:val="003E4636"/>
    <w:rsid w:val="003F7DD1"/>
    <w:rsid w:val="00401B2C"/>
    <w:rsid w:val="00404688"/>
    <w:rsid w:val="00404FD1"/>
    <w:rsid w:val="00410180"/>
    <w:rsid w:val="00410A89"/>
    <w:rsid w:val="00412167"/>
    <w:rsid w:val="004168B1"/>
    <w:rsid w:val="00420196"/>
    <w:rsid w:val="00420F6A"/>
    <w:rsid w:val="00421542"/>
    <w:rsid w:val="004231C5"/>
    <w:rsid w:val="00424A70"/>
    <w:rsid w:val="0042504E"/>
    <w:rsid w:val="00430BC0"/>
    <w:rsid w:val="00432ADF"/>
    <w:rsid w:val="00433341"/>
    <w:rsid w:val="00441A33"/>
    <w:rsid w:val="00442E88"/>
    <w:rsid w:val="0044311F"/>
    <w:rsid w:val="00444E19"/>
    <w:rsid w:val="0044539C"/>
    <w:rsid w:val="0044724B"/>
    <w:rsid w:val="00447FAD"/>
    <w:rsid w:val="0045790E"/>
    <w:rsid w:val="0046122D"/>
    <w:rsid w:val="00461923"/>
    <w:rsid w:val="00463032"/>
    <w:rsid w:val="00467E77"/>
    <w:rsid w:val="004701EF"/>
    <w:rsid w:val="00471E84"/>
    <w:rsid w:val="00471EDD"/>
    <w:rsid w:val="00472FAF"/>
    <w:rsid w:val="004819B6"/>
    <w:rsid w:val="00481DE2"/>
    <w:rsid w:val="00486477"/>
    <w:rsid w:val="004865D4"/>
    <w:rsid w:val="004900DB"/>
    <w:rsid w:val="004926F3"/>
    <w:rsid w:val="0049431F"/>
    <w:rsid w:val="004947DE"/>
    <w:rsid w:val="004A0143"/>
    <w:rsid w:val="004A07D3"/>
    <w:rsid w:val="004A295F"/>
    <w:rsid w:val="004A2A08"/>
    <w:rsid w:val="004A2F63"/>
    <w:rsid w:val="004A3AF0"/>
    <w:rsid w:val="004A5EFA"/>
    <w:rsid w:val="004A7732"/>
    <w:rsid w:val="004B05EE"/>
    <w:rsid w:val="004B08A1"/>
    <w:rsid w:val="004B251E"/>
    <w:rsid w:val="004B3F29"/>
    <w:rsid w:val="004B6EB8"/>
    <w:rsid w:val="004C5402"/>
    <w:rsid w:val="004C7535"/>
    <w:rsid w:val="004D0201"/>
    <w:rsid w:val="004D1E7A"/>
    <w:rsid w:val="004D31A2"/>
    <w:rsid w:val="004D40C6"/>
    <w:rsid w:val="004D7DF9"/>
    <w:rsid w:val="004E50A8"/>
    <w:rsid w:val="004E5671"/>
    <w:rsid w:val="004E585B"/>
    <w:rsid w:val="004E5D77"/>
    <w:rsid w:val="004E5DE1"/>
    <w:rsid w:val="004E6327"/>
    <w:rsid w:val="004E7530"/>
    <w:rsid w:val="004E7C65"/>
    <w:rsid w:val="004F0F25"/>
    <w:rsid w:val="004F209D"/>
    <w:rsid w:val="004F3552"/>
    <w:rsid w:val="004F5577"/>
    <w:rsid w:val="004F581D"/>
    <w:rsid w:val="00501835"/>
    <w:rsid w:val="005027C8"/>
    <w:rsid w:val="00513364"/>
    <w:rsid w:val="00522197"/>
    <w:rsid w:val="00523EEF"/>
    <w:rsid w:val="005271F2"/>
    <w:rsid w:val="00527229"/>
    <w:rsid w:val="00532D98"/>
    <w:rsid w:val="005345B5"/>
    <w:rsid w:val="0053674C"/>
    <w:rsid w:val="00536E2F"/>
    <w:rsid w:val="005371F2"/>
    <w:rsid w:val="00540D67"/>
    <w:rsid w:val="00543D43"/>
    <w:rsid w:val="0054495E"/>
    <w:rsid w:val="00546029"/>
    <w:rsid w:val="0054708D"/>
    <w:rsid w:val="00547408"/>
    <w:rsid w:val="00554851"/>
    <w:rsid w:val="005574E4"/>
    <w:rsid w:val="005630C4"/>
    <w:rsid w:val="005636A8"/>
    <w:rsid w:val="00566171"/>
    <w:rsid w:val="00566CFC"/>
    <w:rsid w:val="00577400"/>
    <w:rsid w:val="005849DC"/>
    <w:rsid w:val="005858E8"/>
    <w:rsid w:val="00586264"/>
    <w:rsid w:val="00586AF9"/>
    <w:rsid w:val="00587731"/>
    <w:rsid w:val="005A2BA5"/>
    <w:rsid w:val="005A2C59"/>
    <w:rsid w:val="005A460B"/>
    <w:rsid w:val="005B160C"/>
    <w:rsid w:val="005B4880"/>
    <w:rsid w:val="005B5119"/>
    <w:rsid w:val="005C4F6C"/>
    <w:rsid w:val="005C5DB9"/>
    <w:rsid w:val="005C678C"/>
    <w:rsid w:val="005C733A"/>
    <w:rsid w:val="005C7609"/>
    <w:rsid w:val="005D00DC"/>
    <w:rsid w:val="005D2177"/>
    <w:rsid w:val="005D4359"/>
    <w:rsid w:val="005D7F0E"/>
    <w:rsid w:val="005E0B04"/>
    <w:rsid w:val="005E1D61"/>
    <w:rsid w:val="005E28DA"/>
    <w:rsid w:val="005E2B6A"/>
    <w:rsid w:val="005E4C6F"/>
    <w:rsid w:val="005E5593"/>
    <w:rsid w:val="005E639D"/>
    <w:rsid w:val="005E7868"/>
    <w:rsid w:val="005F0EC2"/>
    <w:rsid w:val="00601EB1"/>
    <w:rsid w:val="006024AC"/>
    <w:rsid w:val="00603AEF"/>
    <w:rsid w:val="0060442C"/>
    <w:rsid w:val="00614C3A"/>
    <w:rsid w:val="00617913"/>
    <w:rsid w:val="00622390"/>
    <w:rsid w:val="00623268"/>
    <w:rsid w:val="006320D5"/>
    <w:rsid w:val="00635E96"/>
    <w:rsid w:val="0063626C"/>
    <w:rsid w:val="00637546"/>
    <w:rsid w:val="0063798B"/>
    <w:rsid w:val="0064169F"/>
    <w:rsid w:val="006450D5"/>
    <w:rsid w:val="0064561C"/>
    <w:rsid w:val="006457C9"/>
    <w:rsid w:val="00652349"/>
    <w:rsid w:val="00653F73"/>
    <w:rsid w:val="00665FE3"/>
    <w:rsid w:val="00673D62"/>
    <w:rsid w:val="0067429E"/>
    <w:rsid w:val="00676D5F"/>
    <w:rsid w:val="00682B18"/>
    <w:rsid w:val="006872CB"/>
    <w:rsid w:val="006902AA"/>
    <w:rsid w:val="00692910"/>
    <w:rsid w:val="0069327D"/>
    <w:rsid w:val="006934D1"/>
    <w:rsid w:val="0069444A"/>
    <w:rsid w:val="0069637A"/>
    <w:rsid w:val="006967B4"/>
    <w:rsid w:val="006968EC"/>
    <w:rsid w:val="00697320"/>
    <w:rsid w:val="006A0356"/>
    <w:rsid w:val="006A0CB4"/>
    <w:rsid w:val="006A4CC5"/>
    <w:rsid w:val="006B0484"/>
    <w:rsid w:val="006B0D73"/>
    <w:rsid w:val="006B1D92"/>
    <w:rsid w:val="006B3880"/>
    <w:rsid w:val="006B3FFA"/>
    <w:rsid w:val="006B5513"/>
    <w:rsid w:val="006B594F"/>
    <w:rsid w:val="006B66A8"/>
    <w:rsid w:val="006B7BC2"/>
    <w:rsid w:val="006C0370"/>
    <w:rsid w:val="006C18D7"/>
    <w:rsid w:val="006C29C8"/>
    <w:rsid w:val="006C29EC"/>
    <w:rsid w:val="006C7DAE"/>
    <w:rsid w:val="006D2A87"/>
    <w:rsid w:val="006D3E4B"/>
    <w:rsid w:val="006D5015"/>
    <w:rsid w:val="006D7961"/>
    <w:rsid w:val="006D7BEA"/>
    <w:rsid w:val="006E11E9"/>
    <w:rsid w:val="006E1752"/>
    <w:rsid w:val="006E63F2"/>
    <w:rsid w:val="006F16E9"/>
    <w:rsid w:val="006F6308"/>
    <w:rsid w:val="006F78A5"/>
    <w:rsid w:val="00701B86"/>
    <w:rsid w:val="0070219E"/>
    <w:rsid w:val="00703B0A"/>
    <w:rsid w:val="00705C9F"/>
    <w:rsid w:val="00706655"/>
    <w:rsid w:val="007104D8"/>
    <w:rsid w:val="00710A61"/>
    <w:rsid w:val="00711C4C"/>
    <w:rsid w:val="0071254D"/>
    <w:rsid w:val="00713D7C"/>
    <w:rsid w:val="007143F3"/>
    <w:rsid w:val="007149B9"/>
    <w:rsid w:val="007163C4"/>
    <w:rsid w:val="00717FE9"/>
    <w:rsid w:val="007208EF"/>
    <w:rsid w:val="00724497"/>
    <w:rsid w:val="007257F9"/>
    <w:rsid w:val="00727798"/>
    <w:rsid w:val="007343CB"/>
    <w:rsid w:val="007349CC"/>
    <w:rsid w:val="0073587A"/>
    <w:rsid w:val="0073767B"/>
    <w:rsid w:val="0074016C"/>
    <w:rsid w:val="007435BF"/>
    <w:rsid w:val="00745304"/>
    <w:rsid w:val="00745EEE"/>
    <w:rsid w:val="0074748F"/>
    <w:rsid w:val="007527DC"/>
    <w:rsid w:val="0075295E"/>
    <w:rsid w:val="007540B0"/>
    <w:rsid w:val="00754CD0"/>
    <w:rsid w:val="007563BE"/>
    <w:rsid w:val="00756778"/>
    <w:rsid w:val="00760892"/>
    <w:rsid w:val="00762124"/>
    <w:rsid w:val="00767FE0"/>
    <w:rsid w:val="007710F7"/>
    <w:rsid w:val="007776AA"/>
    <w:rsid w:val="007811A7"/>
    <w:rsid w:val="0078476C"/>
    <w:rsid w:val="007865D1"/>
    <w:rsid w:val="007905E2"/>
    <w:rsid w:val="007906F2"/>
    <w:rsid w:val="00793481"/>
    <w:rsid w:val="00796566"/>
    <w:rsid w:val="007A0A19"/>
    <w:rsid w:val="007A4848"/>
    <w:rsid w:val="007A5FF5"/>
    <w:rsid w:val="007A74EB"/>
    <w:rsid w:val="007A7DAD"/>
    <w:rsid w:val="007B0520"/>
    <w:rsid w:val="007B471A"/>
    <w:rsid w:val="007B5067"/>
    <w:rsid w:val="007B64B9"/>
    <w:rsid w:val="007B7165"/>
    <w:rsid w:val="007C29F4"/>
    <w:rsid w:val="007C2FCF"/>
    <w:rsid w:val="007C4459"/>
    <w:rsid w:val="007C48FC"/>
    <w:rsid w:val="007C6054"/>
    <w:rsid w:val="007D12B3"/>
    <w:rsid w:val="007D1BBD"/>
    <w:rsid w:val="007D2F6B"/>
    <w:rsid w:val="007D424C"/>
    <w:rsid w:val="007E0721"/>
    <w:rsid w:val="007E15B3"/>
    <w:rsid w:val="007E2370"/>
    <w:rsid w:val="007E2395"/>
    <w:rsid w:val="007E2615"/>
    <w:rsid w:val="007F3D65"/>
    <w:rsid w:val="007F510C"/>
    <w:rsid w:val="0080136B"/>
    <w:rsid w:val="00804BD6"/>
    <w:rsid w:val="00821D2F"/>
    <w:rsid w:val="008247AE"/>
    <w:rsid w:val="0082606A"/>
    <w:rsid w:val="0082729B"/>
    <w:rsid w:val="0082760E"/>
    <w:rsid w:val="00830DBF"/>
    <w:rsid w:val="00831418"/>
    <w:rsid w:val="0083143B"/>
    <w:rsid w:val="00834327"/>
    <w:rsid w:val="00837771"/>
    <w:rsid w:val="00842B45"/>
    <w:rsid w:val="00844A53"/>
    <w:rsid w:val="00845362"/>
    <w:rsid w:val="00850422"/>
    <w:rsid w:val="0085051F"/>
    <w:rsid w:val="0085176F"/>
    <w:rsid w:val="00851BC4"/>
    <w:rsid w:val="0085250C"/>
    <w:rsid w:val="00853CD8"/>
    <w:rsid w:val="00855BAD"/>
    <w:rsid w:val="00856F4B"/>
    <w:rsid w:val="00857D26"/>
    <w:rsid w:val="00861151"/>
    <w:rsid w:val="00865D31"/>
    <w:rsid w:val="00866616"/>
    <w:rsid w:val="00871F74"/>
    <w:rsid w:val="008732C5"/>
    <w:rsid w:val="00874B90"/>
    <w:rsid w:val="00875A76"/>
    <w:rsid w:val="00877405"/>
    <w:rsid w:val="0087771D"/>
    <w:rsid w:val="00881770"/>
    <w:rsid w:val="00882978"/>
    <w:rsid w:val="008848C0"/>
    <w:rsid w:val="00885322"/>
    <w:rsid w:val="0088620C"/>
    <w:rsid w:val="00890FA5"/>
    <w:rsid w:val="00891BE9"/>
    <w:rsid w:val="008A21DD"/>
    <w:rsid w:val="008A45B5"/>
    <w:rsid w:val="008A6350"/>
    <w:rsid w:val="008A6CD6"/>
    <w:rsid w:val="008A7282"/>
    <w:rsid w:val="008B00DD"/>
    <w:rsid w:val="008B0F1A"/>
    <w:rsid w:val="008B2760"/>
    <w:rsid w:val="008B3245"/>
    <w:rsid w:val="008B5C0A"/>
    <w:rsid w:val="008B7E71"/>
    <w:rsid w:val="008C0FF3"/>
    <w:rsid w:val="008C60F9"/>
    <w:rsid w:val="008D599A"/>
    <w:rsid w:val="008E1082"/>
    <w:rsid w:val="008E646F"/>
    <w:rsid w:val="008F142D"/>
    <w:rsid w:val="008F1986"/>
    <w:rsid w:val="008F22A4"/>
    <w:rsid w:val="008F383A"/>
    <w:rsid w:val="008F3BB3"/>
    <w:rsid w:val="008F6AF9"/>
    <w:rsid w:val="008F7321"/>
    <w:rsid w:val="00900979"/>
    <w:rsid w:val="00901871"/>
    <w:rsid w:val="0090570D"/>
    <w:rsid w:val="009057A0"/>
    <w:rsid w:val="0091019C"/>
    <w:rsid w:val="00910FDF"/>
    <w:rsid w:val="00913AB9"/>
    <w:rsid w:val="00915230"/>
    <w:rsid w:val="009153A6"/>
    <w:rsid w:val="00926E20"/>
    <w:rsid w:val="00927686"/>
    <w:rsid w:val="00931F3A"/>
    <w:rsid w:val="009350D1"/>
    <w:rsid w:val="00937C93"/>
    <w:rsid w:val="00940939"/>
    <w:rsid w:val="0094169F"/>
    <w:rsid w:val="009430DA"/>
    <w:rsid w:val="00943C94"/>
    <w:rsid w:val="009521ED"/>
    <w:rsid w:val="00954A4F"/>
    <w:rsid w:val="009552FC"/>
    <w:rsid w:val="009562FE"/>
    <w:rsid w:val="009564A4"/>
    <w:rsid w:val="00960374"/>
    <w:rsid w:val="00962B5F"/>
    <w:rsid w:val="009639D2"/>
    <w:rsid w:val="009645C6"/>
    <w:rsid w:val="00967849"/>
    <w:rsid w:val="0097042E"/>
    <w:rsid w:val="0097159C"/>
    <w:rsid w:val="009745EF"/>
    <w:rsid w:val="00974E08"/>
    <w:rsid w:val="009760D0"/>
    <w:rsid w:val="00977252"/>
    <w:rsid w:val="00980BCF"/>
    <w:rsid w:val="00982FB0"/>
    <w:rsid w:val="009835DE"/>
    <w:rsid w:val="009872F4"/>
    <w:rsid w:val="00992CEB"/>
    <w:rsid w:val="00994016"/>
    <w:rsid w:val="009A0A93"/>
    <w:rsid w:val="009A28A7"/>
    <w:rsid w:val="009A535F"/>
    <w:rsid w:val="009A6590"/>
    <w:rsid w:val="009B0048"/>
    <w:rsid w:val="009B155F"/>
    <w:rsid w:val="009B73AA"/>
    <w:rsid w:val="009B73AD"/>
    <w:rsid w:val="009C180A"/>
    <w:rsid w:val="009C244D"/>
    <w:rsid w:val="009C307D"/>
    <w:rsid w:val="009C50C1"/>
    <w:rsid w:val="009D08C5"/>
    <w:rsid w:val="009D4603"/>
    <w:rsid w:val="009D5939"/>
    <w:rsid w:val="009D6CEB"/>
    <w:rsid w:val="009E048F"/>
    <w:rsid w:val="009E20AD"/>
    <w:rsid w:val="009E3078"/>
    <w:rsid w:val="009E6DCF"/>
    <w:rsid w:val="009F1636"/>
    <w:rsid w:val="009F17C2"/>
    <w:rsid w:val="009F2614"/>
    <w:rsid w:val="009F2DA3"/>
    <w:rsid w:val="009F38C3"/>
    <w:rsid w:val="009F3CBD"/>
    <w:rsid w:val="009F6A13"/>
    <w:rsid w:val="009F7749"/>
    <w:rsid w:val="00A00483"/>
    <w:rsid w:val="00A04A37"/>
    <w:rsid w:val="00A0753B"/>
    <w:rsid w:val="00A12183"/>
    <w:rsid w:val="00A16183"/>
    <w:rsid w:val="00A24FC7"/>
    <w:rsid w:val="00A257DE"/>
    <w:rsid w:val="00A314AA"/>
    <w:rsid w:val="00A36BC4"/>
    <w:rsid w:val="00A40EA5"/>
    <w:rsid w:val="00A43315"/>
    <w:rsid w:val="00A44843"/>
    <w:rsid w:val="00A457FC"/>
    <w:rsid w:val="00A513B4"/>
    <w:rsid w:val="00A51901"/>
    <w:rsid w:val="00A51BB9"/>
    <w:rsid w:val="00A52058"/>
    <w:rsid w:val="00A56FD6"/>
    <w:rsid w:val="00A605E4"/>
    <w:rsid w:val="00A65150"/>
    <w:rsid w:val="00A709CD"/>
    <w:rsid w:val="00A70BCD"/>
    <w:rsid w:val="00A71E18"/>
    <w:rsid w:val="00A71F46"/>
    <w:rsid w:val="00A7264B"/>
    <w:rsid w:val="00A72D73"/>
    <w:rsid w:val="00A76EED"/>
    <w:rsid w:val="00A77636"/>
    <w:rsid w:val="00A80C2D"/>
    <w:rsid w:val="00A816AD"/>
    <w:rsid w:val="00A91B86"/>
    <w:rsid w:val="00A94B68"/>
    <w:rsid w:val="00A95FBB"/>
    <w:rsid w:val="00A964E3"/>
    <w:rsid w:val="00A97C58"/>
    <w:rsid w:val="00A97FA5"/>
    <w:rsid w:val="00AA0F53"/>
    <w:rsid w:val="00AA2075"/>
    <w:rsid w:val="00AA6772"/>
    <w:rsid w:val="00AA7709"/>
    <w:rsid w:val="00AB1535"/>
    <w:rsid w:val="00AB4066"/>
    <w:rsid w:val="00AB68A4"/>
    <w:rsid w:val="00AB75D0"/>
    <w:rsid w:val="00AC42E6"/>
    <w:rsid w:val="00AC5020"/>
    <w:rsid w:val="00AC5891"/>
    <w:rsid w:val="00AC69CF"/>
    <w:rsid w:val="00AC7A55"/>
    <w:rsid w:val="00AD1C9E"/>
    <w:rsid w:val="00AD714D"/>
    <w:rsid w:val="00AE0BB6"/>
    <w:rsid w:val="00AE1B10"/>
    <w:rsid w:val="00AE1CA8"/>
    <w:rsid w:val="00AE2CCC"/>
    <w:rsid w:val="00AF0914"/>
    <w:rsid w:val="00AF114D"/>
    <w:rsid w:val="00AF351C"/>
    <w:rsid w:val="00AF4295"/>
    <w:rsid w:val="00AF4CA3"/>
    <w:rsid w:val="00AF7074"/>
    <w:rsid w:val="00B00063"/>
    <w:rsid w:val="00B00C56"/>
    <w:rsid w:val="00B022C1"/>
    <w:rsid w:val="00B03D00"/>
    <w:rsid w:val="00B063B2"/>
    <w:rsid w:val="00B103F4"/>
    <w:rsid w:val="00B10F4D"/>
    <w:rsid w:val="00B11191"/>
    <w:rsid w:val="00B120E1"/>
    <w:rsid w:val="00B12B4F"/>
    <w:rsid w:val="00B14942"/>
    <w:rsid w:val="00B16490"/>
    <w:rsid w:val="00B16BD4"/>
    <w:rsid w:val="00B23698"/>
    <w:rsid w:val="00B31028"/>
    <w:rsid w:val="00B32984"/>
    <w:rsid w:val="00B4486D"/>
    <w:rsid w:val="00B45DE3"/>
    <w:rsid w:val="00B46848"/>
    <w:rsid w:val="00B46A97"/>
    <w:rsid w:val="00B50A13"/>
    <w:rsid w:val="00B51D11"/>
    <w:rsid w:val="00B52954"/>
    <w:rsid w:val="00B5435D"/>
    <w:rsid w:val="00B64EC0"/>
    <w:rsid w:val="00B711E6"/>
    <w:rsid w:val="00B8255D"/>
    <w:rsid w:val="00B82E5C"/>
    <w:rsid w:val="00B84A5C"/>
    <w:rsid w:val="00B87D9D"/>
    <w:rsid w:val="00B92368"/>
    <w:rsid w:val="00B95A81"/>
    <w:rsid w:val="00BA0B0E"/>
    <w:rsid w:val="00BA148F"/>
    <w:rsid w:val="00BA1547"/>
    <w:rsid w:val="00BA1815"/>
    <w:rsid w:val="00BA2090"/>
    <w:rsid w:val="00BA441D"/>
    <w:rsid w:val="00BA4C9D"/>
    <w:rsid w:val="00BA590A"/>
    <w:rsid w:val="00BA7C88"/>
    <w:rsid w:val="00BA7DE0"/>
    <w:rsid w:val="00BB0565"/>
    <w:rsid w:val="00BB06C8"/>
    <w:rsid w:val="00BB0EFA"/>
    <w:rsid w:val="00BB5837"/>
    <w:rsid w:val="00BC0159"/>
    <w:rsid w:val="00BC631B"/>
    <w:rsid w:val="00BD134E"/>
    <w:rsid w:val="00BD1562"/>
    <w:rsid w:val="00BD18A8"/>
    <w:rsid w:val="00BD2364"/>
    <w:rsid w:val="00BD35AD"/>
    <w:rsid w:val="00BD554F"/>
    <w:rsid w:val="00BD7F36"/>
    <w:rsid w:val="00BE410F"/>
    <w:rsid w:val="00BE5442"/>
    <w:rsid w:val="00BF04F5"/>
    <w:rsid w:val="00BF1263"/>
    <w:rsid w:val="00BF6303"/>
    <w:rsid w:val="00BF67E6"/>
    <w:rsid w:val="00C001FC"/>
    <w:rsid w:val="00C004E9"/>
    <w:rsid w:val="00C016FD"/>
    <w:rsid w:val="00C0309D"/>
    <w:rsid w:val="00C042E6"/>
    <w:rsid w:val="00C05503"/>
    <w:rsid w:val="00C143FC"/>
    <w:rsid w:val="00C26217"/>
    <w:rsid w:val="00C27464"/>
    <w:rsid w:val="00C3273E"/>
    <w:rsid w:val="00C33A5E"/>
    <w:rsid w:val="00C41746"/>
    <w:rsid w:val="00C45807"/>
    <w:rsid w:val="00C45F7B"/>
    <w:rsid w:val="00C512A1"/>
    <w:rsid w:val="00C51F2A"/>
    <w:rsid w:val="00C547B2"/>
    <w:rsid w:val="00C556FE"/>
    <w:rsid w:val="00C558BE"/>
    <w:rsid w:val="00C5650A"/>
    <w:rsid w:val="00C6128B"/>
    <w:rsid w:val="00C62563"/>
    <w:rsid w:val="00C63A95"/>
    <w:rsid w:val="00C644FF"/>
    <w:rsid w:val="00C7074C"/>
    <w:rsid w:val="00C72AF7"/>
    <w:rsid w:val="00C81234"/>
    <w:rsid w:val="00C91FDA"/>
    <w:rsid w:val="00C93290"/>
    <w:rsid w:val="00CA35B7"/>
    <w:rsid w:val="00CA370B"/>
    <w:rsid w:val="00CA5ACF"/>
    <w:rsid w:val="00CA6763"/>
    <w:rsid w:val="00CA7F6D"/>
    <w:rsid w:val="00CB2B90"/>
    <w:rsid w:val="00CB7A6B"/>
    <w:rsid w:val="00CC048C"/>
    <w:rsid w:val="00CC0C1C"/>
    <w:rsid w:val="00CC2876"/>
    <w:rsid w:val="00CC54C3"/>
    <w:rsid w:val="00CC6E52"/>
    <w:rsid w:val="00CD2E7C"/>
    <w:rsid w:val="00CD43D7"/>
    <w:rsid w:val="00CD6F6B"/>
    <w:rsid w:val="00CD7A15"/>
    <w:rsid w:val="00CE1BF2"/>
    <w:rsid w:val="00CE1F9E"/>
    <w:rsid w:val="00CE23F4"/>
    <w:rsid w:val="00CE3735"/>
    <w:rsid w:val="00CE3EDA"/>
    <w:rsid w:val="00CF1A60"/>
    <w:rsid w:val="00CF1D89"/>
    <w:rsid w:val="00CF3F73"/>
    <w:rsid w:val="00D01E9D"/>
    <w:rsid w:val="00D05D85"/>
    <w:rsid w:val="00D12FD5"/>
    <w:rsid w:val="00D14355"/>
    <w:rsid w:val="00D144AE"/>
    <w:rsid w:val="00D15B7F"/>
    <w:rsid w:val="00D16C88"/>
    <w:rsid w:val="00D17189"/>
    <w:rsid w:val="00D215AA"/>
    <w:rsid w:val="00D238D8"/>
    <w:rsid w:val="00D25E11"/>
    <w:rsid w:val="00D275CE"/>
    <w:rsid w:val="00D300D6"/>
    <w:rsid w:val="00D31369"/>
    <w:rsid w:val="00D3199D"/>
    <w:rsid w:val="00D31A31"/>
    <w:rsid w:val="00D32315"/>
    <w:rsid w:val="00D34CAD"/>
    <w:rsid w:val="00D35923"/>
    <w:rsid w:val="00D36672"/>
    <w:rsid w:val="00D43D34"/>
    <w:rsid w:val="00D44903"/>
    <w:rsid w:val="00D44A2F"/>
    <w:rsid w:val="00D46978"/>
    <w:rsid w:val="00D478DD"/>
    <w:rsid w:val="00D47C75"/>
    <w:rsid w:val="00D5015F"/>
    <w:rsid w:val="00D503D6"/>
    <w:rsid w:val="00D53EF4"/>
    <w:rsid w:val="00D54895"/>
    <w:rsid w:val="00D551EB"/>
    <w:rsid w:val="00D55689"/>
    <w:rsid w:val="00D57A8C"/>
    <w:rsid w:val="00D60554"/>
    <w:rsid w:val="00D64569"/>
    <w:rsid w:val="00D654BA"/>
    <w:rsid w:val="00D7252A"/>
    <w:rsid w:val="00D7531F"/>
    <w:rsid w:val="00D75950"/>
    <w:rsid w:val="00D76E30"/>
    <w:rsid w:val="00D80DC2"/>
    <w:rsid w:val="00D834B6"/>
    <w:rsid w:val="00D84FE8"/>
    <w:rsid w:val="00D909A8"/>
    <w:rsid w:val="00D90DBC"/>
    <w:rsid w:val="00D913F9"/>
    <w:rsid w:val="00D91C3B"/>
    <w:rsid w:val="00D9261F"/>
    <w:rsid w:val="00D93B14"/>
    <w:rsid w:val="00D94F37"/>
    <w:rsid w:val="00D95DCF"/>
    <w:rsid w:val="00D95DFC"/>
    <w:rsid w:val="00D97011"/>
    <w:rsid w:val="00D970FD"/>
    <w:rsid w:val="00D97DA8"/>
    <w:rsid w:val="00DA2882"/>
    <w:rsid w:val="00DA51B1"/>
    <w:rsid w:val="00DB147B"/>
    <w:rsid w:val="00DB2A50"/>
    <w:rsid w:val="00DB3C23"/>
    <w:rsid w:val="00DB6422"/>
    <w:rsid w:val="00DC04E3"/>
    <w:rsid w:val="00DC7888"/>
    <w:rsid w:val="00DD18BB"/>
    <w:rsid w:val="00DD4C07"/>
    <w:rsid w:val="00DD76BE"/>
    <w:rsid w:val="00DE1A57"/>
    <w:rsid w:val="00DE3FE2"/>
    <w:rsid w:val="00DE4979"/>
    <w:rsid w:val="00DE4BE0"/>
    <w:rsid w:val="00DE67E4"/>
    <w:rsid w:val="00DF1749"/>
    <w:rsid w:val="00DF5F72"/>
    <w:rsid w:val="00DF67AE"/>
    <w:rsid w:val="00E00600"/>
    <w:rsid w:val="00E02E05"/>
    <w:rsid w:val="00E05223"/>
    <w:rsid w:val="00E20B21"/>
    <w:rsid w:val="00E21A8B"/>
    <w:rsid w:val="00E23690"/>
    <w:rsid w:val="00E2468A"/>
    <w:rsid w:val="00E25682"/>
    <w:rsid w:val="00E30F0D"/>
    <w:rsid w:val="00E328FC"/>
    <w:rsid w:val="00E332BB"/>
    <w:rsid w:val="00E3336C"/>
    <w:rsid w:val="00E41D0A"/>
    <w:rsid w:val="00E42A30"/>
    <w:rsid w:val="00E44562"/>
    <w:rsid w:val="00E4593A"/>
    <w:rsid w:val="00E462B4"/>
    <w:rsid w:val="00E4742F"/>
    <w:rsid w:val="00E51C76"/>
    <w:rsid w:val="00E528AD"/>
    <w:rsid w:val="00E55872"/>
    <w:rsid w:val="00E63284"/>
    <w:rsid w:val="00E66041"/>
    <w:rsid w:val="00E705D7"/>
    <w:rsid w:val="00E7066E"/>
    <w:rsid w:val="00E73D8A"/>
    <w:rsid w:val="00E82521"/>
    <w:rsid w:val="00E82D95"/>
    <w:rsid w:val="00E84A37"/>
    <w:rsid w:val="00E84BF5"/>
    <w:rsid w:val="00E85F3C"/>
    <w:rsid w:val="00E866B0"/>
    <w:rsid w:val="00E90584"/>
    <w:rsid w:val="00E92AF4"/>
    <w:rsid w:val="00E93044"/>
    <w:rsid w:val="00E94D99"/>
    <w:rsid w:val="00EA1BE7"/>
    <w:rsid w:val="00EA5512"/>
    <w:rsid w:val="00EB169A"/>
    <w:rsid w:val="00EB1C8A"/>
    <w:rsid w:val="00EB4592"/>
    <w:rsid w:val="00EB701E"/>
    <w:rsid w:val="00EC71B6"/>
    <w:rsid w:val="00EC7EAC"/>
    <w:rsid w:val="00ED1E29"/>
    <w:rsid w:val="00EE21C8"/>
    <w:rsid w:val="00EE2753"/>
    <w:rsid w:val="00EE359E"/>
    <w:rsid w:val="00EE5D3E"/>
    <w:rsid w:val="00EE5E61"/>
    <w:rsid w:val="00EE60F2"/>
    <w:rsid w:val="00EE666B"/>
    <w:rsid w:val="00EF097B"/>
    <w:rsid w:val="00EF6BDC"/>
    <w:rsid w:val="00F002DA"/>
    <w:rsid w:val="00F00AF8"/>
    <w:rsid w:val="00F01097"/>
    <w:rsid w:val="00F064E1"/>
    <w:rsid w:val="00F12F2B"/>
    <w:rsid w:val="00F16E3E"/>
    <w:rsid w:val="00F2013F"/>
    <w:rsid w:val="00F20D90"/>
    <w:rsid w:val="00F2154A"/>
    <w:rsid w:val="00F22CD6"/>
    <w:rsid w:val="00F233FB"/>
    <w:rsid w:val="00F26C0E"/>
    <w:rsid w:val="00F3028B"/>
    <w:rsid w:val="00F3341D"/>
    <w:rsid w:val="00F3385F"/>
    <w:rsid w:val="00F348E9"/>
    <w:rsid w:val="00F34EF0"/>
    <w:rsid w:val="00F403DB"/>
    <w:rsid w:val="00F40DE2"/>
    <w:rsid w:val="00F40E4E"/>
    <w:rsid w:val="00F44CB0"/>
    <w:rsid w:val="00F47EAE"/>
    <w:rsid w:val="00F51032"/>
    <w:rsid w:val="00F527DA"/>
    <w:rsid w:val="00F52B1E"/>
    <w:rsid w:val="00F55572"/>
    <w:rsid w:val="00F6599A"/>
    <w:rsid w:val="00F66D7A"/>
    <w:rsid w:val="00F6750C"/>
    <w:rsid w:val="00F736B3"/>
    <w:rsid w:val="00F772C8"/>
    <w:rsid w:val="00F81806"/>
    <w:rsid w:val="00F866ED"/>
    <w:rsid w:val="00F86CF6"/>
    <w:rsid w:val="00F91A9C"/>
    <w:rsid w:val="00F9355E"/>
    <w:rsid w:val="00F94C93"/>
    <w:rsid w:val="00F962D9"/>
    <w:rsid w:val="00FA027D"/>
    <w:rsid w:val="00FA188D"/>
    <w:rsid w:val="00FA21B4"/>
    <w:rsid w:val="00FA4077"/>
    <w:rsid w:val="00FA5418"/>
    <w:rsid w:val="00FA583E"/>
    <w:rsid w:val="00FA5E36"/>
    <w:rsid w:val="00FB04E4"/>
    <w:rsid w:val="00FB3D41"/>
    <w:rsid w:val="00FB3F99"/>
    <w:rsid w:val="00FB653A"/>
    <w:rsid w:val="00FB6AD3"/>
    <w:rsid w:val="00FC0C47"/>
    <w:rsid w:val="00FC0C74"/>
    <w:rsid w:val="00FC1F4C"/>
    <w:rsid w:val="00FC48AD"/>
    <w:rsid w:val="00FC6C6B"/>
    <w:rsid w:val="00FC6CEF"/>
    <w:rsid w:val="00FC7367"/>
    <w:rsid w:val="00FD242E"/>
    <w:rsid w:val="00FD3D59"/>
    <w:rsid w:val="00FD4DE4"/>
    <w:rsid w:val="00FD6DFE"/>
    <w:rsid w:val="00FD7014"/>
    <w:rsid w:val="00FE2CE4"/>
    <w:rsid w:val="00FE4167"/>
    <w:rsid w:val="00FE7914"/>
    <w:rsid w:val="00FF09AC"/>
    <w:rsid w:val="00FF1BB6"/>
    <w:rsid w:val="00FF6B78"/>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CDF6435-C746-4424-89CA-8DFB00EC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7DE"/>
  </w:style>
  <w:style w:type="paragraph" w:styleId="Heading1">
    <w:name w:val="heading 1"/>
    <w:basedOn w:val="Normal"/>
    <w:next w:val="Normal"/>
    <w:link w:val="Heading1Char"/>
    <w:uiPriority w:val="9"/>
    <w:qFormat/>
    <w:rsid w:val="00C274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84BF5"/>
    <w:pPr>
      <w:keepNext/>
      <w:spacing w:before="240" w:after="160" w:line="240" w:lineRule="auto"/>
      <w:outlineLvl w:val="1"/>
    </w:pPr>
    <w:rPr>
      <w:rFonts w:ascii="Arial" w:eastAsia="Times New Roman" w:hAnsi="Arial" w:cs="Arial"/>
      <w:b/>
      <w:bCs/>
      <w:iCs/>
      <w:color w:val="000080"/>
      <w:sz w:val="28"/>
      <w:szCs w:val="28"/>
    </w:rPr>
  </w:style>
  <w:style w:type="paragraph" w:styleId="Heading3">
    <w:name w:val="heading 3"/>
    <w:basedOn w:val="Normal"/>
    <w:next w:val="Normal"/>
    <w:link w:val="Heading3Char"/>
    <w:uiPriority w:val="9"/>
    <w:unhideWhenUsed/>
    <w:qFormat/>
    <w:rsid w:val="009101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44"/>
    <w:rPr>
      <w:rFonts w:ascii="Tahoma" w:hAnsi="Tahoma" w:cs="Tahoma"/>
      <w:sz w:val="16"/>
      <w:szCs w:val="16"/>
    </w:rPr>
  </w:style>
  <w:style w:type="paragraph" w:styleId="Title">
    <w:name w:val="Title"/>
    <w:basedOn w:val="Normal"/>
    <w:next w:val="Normal"/>
    <w:link w:val="TitleChar"/>
    <w:uiPriority w:val="10"/>
    <w:qFormat/>
    <w:rsid w:val="00280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C44"/>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280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0C44"/>
    <w:rPr>
      <w:b/>
      <w:bCs/>
      <w:i/>
      <w:iCs/>
      <w:color w:val="4F81BD" w:themeColor="accent1"/>
    </w:rPr>
  </w:style>
  <w:style w:type="table" w:styleId="TableGrid">
    <w:name w:val="Table Grid"/>
    <w:basedOn w:val="TableNormal"/>
    <w:uiPriority w:val="59"/>
    <w:rsid w:val="009C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274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84BF5"/>
    <w:pPr>
      <w:ind w:left="720"/>
      <w:contextualSpacing/>
    </w:pPr>
  </w:style>
  <w:style w:type="character" w:customStyle="1" w:styleId="Heading2Char">
    <w:name w:val="Heading 2 Char"/>
    <w:basedOn w:val="DefaultParagraphFont"/>
    <w:link w:val="Heading2"/>
    <w:rsid w:val="00E84BF5"/>
    <w:rPr>
      <w:rFonts w:ascii="Arial" w:eastAsia="Times New Roman" w:hAnsi="Arial" w:cs="Arial"/>
      <w:b/>
      <w:bCs/>
      <w:iCs/>
      <w:color w:val="000080"/>
      <w:sz w:val="28"/>
      <w:szCs w:val="28"/>
    </w:rPr>
  </w:style>
  <w:style w:type="paragraph" w:styleId="BodyText">
    <w:name w:val="Body Text"/>
    <w:basedOn w:val="Normal"/>
    <w:link w:val="BodyTextChar"/>
    <w:rsid w:val="00E84BF5"/>
    <w:pPr>
      <w:spacing w:after="16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E84BF5"/>
    <w:rPr>
      <w:rFonts w:ascii="Arial" w:eastAsia="Times New Roman" w:hAnsi="Arial" w:cs="Times New Roman"/>
      <w:sz w:val="24"/>
      <w:szCs w:val="24"/>
    </w:rPr>
  </w:style>
  <w:style w:type="paragraph" w:styleId="ListBullet">
    <w:name w:val="List Bullet"/>
    <w:basedOn w:val="Normal"/>
    <w:rsid w:val="00E84BF5"/>
    <w:pPr>
      <w:numPr>
        <w:numId w:val="1"/>
      </w:numPr>
      <w:spacing w:after="12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91019C"/>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rsid w:val="0006220B"/>
    <w:pPr>
      <w:tabs>
        <w:tab w:val="right" w:leader="dot" w:pos="9360"/>
      </w:tabs>
      <w:spacing w:before="40" w:after="40" w:line="240" w:lineRule="auto"/>
    </w:pPr>
    <w:rPr>
      <w:rFonts w:ascii="Verdana" w:eastAsia="Times New Roman" w:hAnsi="Verdana" w:cs="Times New Roman"/>
      <w:b/>
      <w:noProof/>
      <w:color w:val="17365D" w:themeColor="text2" w:themeShade="BF"/>
    </w:rPr>
  </w:style>
  <w:style w:type="paragraph" w:styleId="TOC1">
    <w:name w:val="toc 1"/>
    <w:next w:val="Normal"/>
    <w:autoRedefine/>
    <w:uiPriority w:val="39"/>
    <w:rsid w:val="007905E2"/>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6A4CC5"/>
    <w:rPr>
      <w:color w:val="0000FF"/>
      <w:u w:val="single"/>
    </w:rPr>
  </w:style>
  <w:style w:type="paragraph" w:styleId="FootnoteText">
    <w:name w:val="footnote text"/>
    <w:basedOn w:val="Normal"/>
    <w:link w:val="FootnoteTextChar"/>
    <w:uiPriority w:val="99"/>
    <w:semiHidden/>
    <w:unhideWhenUsed/>
    <w:rsid w:val="00A95F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FBB"/>
    <w:rPr>
      <w:sz w:val="20"/>
      <w:szCs w:val="20"/>
    </w:rPr>
  </w:style>
  <w:style w:type="character" w:styleId="FootnoteReference">
    <w:name w:val="footnote reference"/>
    <w:basedOn w:val="DefaultParagraphFont"/>
    <w:uiPriority w:val="99"/>
    <w:semiHidden/>
    <w:unhideWhenUsed/>
    <w:rsid w:val="00A95FBB"/>
    <w:rPr>
      <w:vertAlign w:val="superscript"/>
    </w:rPr>
  </w:style>
  <w:style w:type="paragraph" w:styleId="Header">
    <w:name w:val="header"/>
    <w:basedOn w:val="Normal"/>
    <w:link w:val="HeaderChar"/>
    <w:unhideWhenUsed/>
    <w:rsid w:val="00230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49"/>
  </w:style>
  <w:style w:type="paragraph" w:styleId="Footer">
    <w:name w:val="footer"/>
    <w:basedOn w:val="Normal"/>
    <w:link w:val="FooterChar"/>
    <w:uiPriority w:val="99"/>
    <w:unhideWhenUsed/>
    <w:rsid w:val="00230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49"/>
  </w:style>
  <w:style w:type="character" w:styleId="CommentReference">
    <w:name w:val="annotation reference"/>
    <w:basedOn w:val="DefaultParagraphFont"/>
    <w:uiPriority w:val="99"/>
    <w:semiHidden/>
    <w:unhideWhenUsed/>
    <w:rsid w:val="007563BE"/>
    <w:rPr>
      <w:sz w:val="16"/>
      <w:szCs w:val="16"/>
    </w:rPr>
  </w:style>
  <w:style w:type="paragraph" w:styleId="CommentText">
    <w:name w:val="annotation text"/>
    <w:basedOn w:val="Normal"/>
    <w:link w:val="CommentTextChar"/>
    <w:uiPriority w:val="99"/>
    <w:semiHidden/>
    <w:unhideWhenUsed/>
    <w:rsid w:val="007563BE"/>
    <w:pPr>
      <w:spacing w:line="240" w:lineRule="auto"/>
    </w:pPr>
    <w:rPr>
      <w:sz w:val="20"/>
      <w:szCs w:val="20"/>
    </w:rPr>
  </w:style>
  <w:style w:type="character" w:customStyle="1" w:styleId="CommentTextChar">
    <w:name w:val="Comment Text Char"/>
    <w:basedOn w:val="DefaultParagraphFont"/>
    <w:link w:val="CommentText"/>
    <w:uiPriority w:val="99"/>
    <w:semiHidden/>
    <w:rsid w:val="007563BE"/>
    <w:rPr>
      <w:sz w:val="20"/>
      <w:szCs w:val="20"/>
    </w:rPr>
  </w:style>
  <w:style w:type="paragraph" w:styleId="CommentSubject">
    <w:name w:val="annotation subject"/>
    <w:basedOn w:val="CommentText"/>
    <w:next w:val="CommentText"/>
    <w:link w:val="CommentSubjectChar"/>
    <w:uiPriority w:val="99"/>
    <w:semiHidden/>
    <w:unhideWhenUsed/>
    <w:rsid w:val="007563BE"/>
    <w:rPr>
      <w:b/>
      <w:bCs/>
    </w:rPr>
  </w:style>
  <w:style w:type="character" w:customStyle="1" w:styleId="CommentSubjectChar">
    <w:name w:val="Comment Subject Char"/>
    <w:basedOn w:val="CommentTextChar"/>
    <w:link w:val="CommentSubject"/>
    <w:uiPriority w:val="99"/>
    <w:semiHidden/>
    <w:rsid w:val="007563BE"/>
    <w:rPr>
      <w:b/>
      <w:bCs/>
      <w:sz w:val="20"/>
      <w:szCs w:val="20"/>
    </w:rPr>
  </w:style>
  <w:style w:type="paragraph" w:customStyle="1" w:styleId="Default">
    <w:name w:val="Default"/>
    <w:rsid w:val="00AF091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C3273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A370B"/>
    <w:pPr>
      <w:spacing w:after="0" w:line="240" w:lineRule="auto"/>
    </w:pPr>
  </w:style>
  <w:style w:type="character" w:styleId="UnresolvedMention">
    <w:name w:val="Unresolved Mention"/>
    <w:basedOn w:val="DefaultParagraphFont"/>
    <w:uiPriority w:val="99"/>
    <w:semiHidden/>
    <w:unhideWhenUsed/>
    <w:rsid w:val="009760D0"/>
    <w:rPr>
      <w:color w:val="808080"/>
      <w:shd w:val="clear" w:color="auto" w:fill="E6E6E6"/>
    </w:rPr>
  </w:style>
  <w:style w:type="character" w:customStyle="1" w:styleId="A4">
    <w:name w:val="A4"/>
    <w:uiPriority w:val="99"/>
    <w:rsid w:val="00845362"/>
    <w:rPr>
      <w:rFonts w:cs="Myriad Pro"/>
      <w:b/>
      <w:bCs/>
      <w:color w:val="000000"/>
    </w:rPr>
  </w:style>
  <w:style w:type="character" w:customStyle="1" w:styleId="A10">
    <w:name w:val="A10"/>
    <w:uiPriority w:val="99"/>
    <w:rsid w:val="00845362"/>
    <w:rPr>
      <w:rFonts w:cs="Myriad Pro"/>
      <w:color w:val="000000"/>
      <w:sz w:val="11"/>
      <w:szCs w:val="11"/>
    </w:rPr>
  </w:style>
  <w:style w:type="paragraph" w:customStyle="1" w:styleId="Pa25">
    <w:name w:val="Pa25"/>
    <w:basedOn w:val="Default"/>
    <w:next w:val="Default"/>
    <w:uiPriority w:val="99"/>
    <w:rsid w:val="00845362"/>
    <w:pPr>
      <w:spacing w:line="221" w:lineRule="atLeast"/>
    </w:pPr>
    <w:rPr>
      <w:rFonts w:ascii="Myriad Pro" w:hAnsi="Myriad Pro" w:cstheme="minorBidi"/>
      <w:color w:val="auto"/>
    </w:rPr>
  </w:style>
  <w:style w:type="character" w:customStyle="1" w:styleId="A8">
    <w:name w:val="A8"/>
    <w:uiPriority w:val="99"/>
    <w:rsid w:val="00845362"/>
    <w:rPr>
      <w:rFonts w:cs="Myriad Pro"/>
      <w:b/>
      <w:bCs/>
      <w:color w:val="000000"/>
    </w:rPr>
  </w:style>
  <w:style w:type="character" w:customStyle="1" w:styleId="A3">
    <w:name w:val="A3"/>
    <w:uiPriority w:val="99"/>
    <w:rsid w:val="00845362"/>
    <w:rPr>
      <w:rFonts w:ascii="Myriad Pro Light" w:hAnsi="Myriad Pro Light" w:cs="Myriad Pro Light"/>
      <w:b/>
      <w:bCs/>
      <w:color w:val="000000"/>
      <w:sz w:val="20"/>
      <w:szCs w:val="20"/>
    </w:rPr>
  </w:style>
  <w:style w:type="paragraph" w:customStyle="1" w:styleId="Pa92">
    <w:name w:val="Pa92"/>
    <w:basedOn w:val="Default"/>
    <w:next w:val="Default"/>
    <w:uiPriority w:val="99"/>
    <w:rsid w:val="000B6287"/>
    <w:pPr>
      <w:spacing w:line="22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935">
      <w:bodyDiv w:val="1"/>
      <w:marLeft w:val="0"/>
      <w:marRight w:val="0"/>
      <w:marTop w:val="0"/>
      <w:marBottom w:val="0"/>
      <w:divBdr>
        <w:top w:val="none" w:sz="0" w:space="0" w:color="auto"/>
        <w:left w:val="none" w:sz="0" w:space="0" w:color="auto"/>
        <w:bottom w:val="none" w:sz="0" w:space="0" w:color="auto"/>
        <w:right w:val="none" w:sz="0" w:space="0" w:color="auto"/>
      </w:divBdr>
    </w:div>
    <w:div w:id="628898665">
      <w:bodyDiv w:val="1"/>
      <w:marLeft w:val="0"/>
      <w:marRight w:val="0"/>
      <w:marTop w:val="0"/>
      <w:marBottom w:val="0"/>
      <w:divBdr>
        <w:top w:val="none" w:sz="0" w:space="0" w:color="auto"/>
        <w:left w:val="none" w:sz="0" w:space="0" w:color="auto"/>
        <w:bottom w:val="none" w:sz="0" w:space="0" w:color="auto"/>
        <w:right w:val="none" w:sz="0" w:space="0" w:color="auto"/>
      </w:divBdr>
    </w:div>
    <w:div w:id="683942045">
      <w:bodyDiv w:val="1"/>
      <w:marLeft w:val="0"/>
      <w:marRight w:val="0"/>
      <w:marTop w:val="0"/>
      <w:marBottom w:val="0"/>
      <w:divBdr>
        <w:top w:val="none" w:sz="0" w:space="0" w:color="auto"/>
        <w:left w:val="none" w:sz="0" w:space="0" w:color="auto"/>
        <w:bottom w:val="none" w:sz="0" w:space="0" w:color="auto"/>
        <w:right w:val="none" w:sz="0" w:space="0" w:color="auto"/>
      </w:divBdr>
    </w:div>
    <w:div w:id="1368094202">
      <w:bodyDiv w:val="1"/>
      <w:marLeft w:val="0"/>
      <w:marRight w:val="0"/>
      <w:marTop w:val="0"/>
      <w:marBottom w:val="0"/>
      <w:divBdr>
        <w:top w:val="none" w:sz="0" w:space="0" w:color="auto"/>
        <w:left w:val="none" w:sz="0" w:space="0" w:color="auto"/>
        <w:bottom w:val="none" w:sz="0" w:space="0" w:color="auto"/>
        <w:right w:val="none" w:sz="0" w:space="0" w:color="auto"/>
      </w:divBdr>
    </w:div>
    <w:div w:id="1608540885">
      <w:bodyDiv w:val="1"/>
      <w:marLeft w:val="0"/>
      <w:marRight w:val="0"/>
      <w:marTop w:val="0"/>
      <w:marBottom w:val="0"/>
      <w:divBdr>
        <w:top w:val="none" w:sz="0" w:space="0" w:color="auto"/>
        <w:left w:val="none" w:sz="0" w:space="0" w:color="auto"/>
        <w:bottom w:val="none" w:sz="0" w:space="0" w:color="auto"/>
        <w:right w:val="none" w:sz="0" w:space="0" w:color="auto"/>
      </w:divBdr>
      <w:divsChild>
        <w:div w:id="555438274">
          <w:marLeft w:val="0"/>
          <w:marRight w:val="0"/>
          <w:marTop w:val="0"/>
          <w:marBottom w:val="0"/>
          <w:divBdr>
            <w:top w:val="none" w:sz="0" w:space="0" w:color="auto"/>
            <w:left w:val="none" w:sz="0" w:space="0" w:color="auto"/>
            <w:bottom w:val="none" w:sz="0" w:space="0" w:color="auto"/>
            <w:right w:val="none" w:sz="0" w:space="0" w:color="auto"/>
          </w:divBdr>
          <w:divsChild>
            <w:div w:id="1305891339">
              <w:marLeft w:val="0"/>
              <w:marRight w:val="0"/>
              <w:marTop w:val="0"/>
              <w:marBottom w:val="75"/>
              <w:divBdr>
                <w:top w:val="none" w:sz="0" w:space="0" w:color="auto"/>
                <w:left w:val="none" w:sz="0" w:space="0" w:color="auto"/>
                <w:bottom w:val="none" w:sz="0" w:space="0" w:color="auto"/>
                <w:right w:val="none" w:sz="0" w:space="0" w:color="auto"/>
              </w:divBdr>
            </w:div>
          </w:divsChild>
        </w:div>
        <w:div w:id="80524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bynej2@michigan.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mithj20@michigan.gov"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14A1C-102A-4642-9833-1E717818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4480</Words>
  <Characters>25536</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ituation Manual (SitMan) Out of Africa, Tabletop Exercise State Agencies</vt:lpstr>
      <vt:lpstr>        APPENDIX A: Acronyms</vt:lpstr>
    </vt:vector>
  </TitlesOfParts>
  <Company>State of Michigan</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ituation Manual (SitMan) Out of Africa, Tabletop Exercise State Agencies</dc:title>
  <dc:creator>Zimmerman, Larry (DCH)</dc:creator>
  <cp:lastModifiedBy>Smith, Jason (DHHS)</cp:lastModifiedBy>
  <cp:revision>3</cp:revision>
  <cp:lastPrinted>2018-05-31T13:09:00Z</cp:lastPrinted>
  <dcterms:created xsi:type="dcterms:W3CDTF">2018-05-31T17:39:00Z</dcterms:created>
  <dcterms:modified xsi:type="dcterms:W3CDTF">2018-05-31T17:40:00Z</dcterms:modified>
</cp:coreProperties>
</file>